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96A7E2">
      <w:pPr>
        <w:widowControl/>
        <w:spacing w:line="360" w:lineRule="atLeast"/>
        <w:ind w:firstLine="904" w:firstLineChars="300"/>
        <w:jc w:val="center"/>
        <w:rPr>
          <w:rFonts w:hint="default" w:cs="宋体" w:asciiTheme="minorEastAsia" w:hAnsiTheme="minorEastAsia" w:eastAsiaTheme="minorEastAsia"/>
          <w:b/>
          <w:bCs/>
          <w:color w:val="333333"/>
          <w:kern w:val="0"/>
          <w:sz w:val="30"/>
          <w:szCs w:val="30"/>
          <w:lang w:val="en-US" w:eastAsia="zh-CN"/>
        </w:rPr>
      </w:pPr>
      <w:r>
        <w:rPr>
          <w:rFonts w:hint="eastAsia" w:cs="宋体" w:asciiTheme="minorEastAsia" w:hAnsiTheme="minorEastAsia"/>
          <w:b/>
          <w:bCs/>
          <w:color w:val="333333"/>
          <w:kern w:val="0"/>
          <w:sz w:val="30"/>
          <w:szCs w:val="30"/>
        </w:rPr>
        <w:t>202</w:t>
      </w:r>
      <w:r>
        <w:rPr>
          <w:rFonts w:hint="eastAsia" w:cs="宋体" w:asciiTheme="minorEastAsia" w:hAnsiTheme="minorEastAsia"/>
          <w:b/>
          <w:bCs/>
          <w:color w:val="333333"/>
          <w:kern w:val="0"/>
          <w:sz w:val="30"/>
          <w:szCs w:val="30"/>
          <w:lang w:val="en-US" w:eastAsia="zh-CN"/>
        </w:rPr>
        <w:t>5</w:t>
      </w:r>
      <w:r>
        <w:rPr>
          <w:rFonts w:hint="eastAsia" w:cs="宋体" w:asciiTheme="minorEastAsia" w:hAnsiTheme="minorEastAsia"/>
          <w:b/>
          <w:bCs/>
          <w:color w:val="333333"/>
          <w:kern w:val="0"/>
          <w:sz w:val="30"/>
          <w:szCs w:val="30"/>
        </w:rPr>
        <w:t>年3-4月学位论文盲审及20</w:t>
      </w:r>
      <w:r>
        <w:rPr>
          <w:rFonts w:cs="宋体" w:asciiTheme="minorEastAsia" w:hAnsiTheme="minorEastAsia"/>
          <w:b/>
          <w:bCs/>
          <w:color w:val="333333"/>
          <w:kern w:val="0"/>
          <w:sz w:val="30"/>
          <w:szCs w:val="30"/>
        </w:rPr>
        <w:t>2</w:t>
      </w:r>
      <w:r>
        <w:rPr>
          <w:rFonts w:hint="eastAsia" w:cs="宋体" w:asciiTheme="minorEastAsia" w:hAnsiTheme="minorEastAsia"/>
          <w:b/>
          <w:bCs/>
          <w:color w:val="333333"/>
          <w:kern w:val="0"/>
          <w:sz w:val="30"/>
          <w:szCs w:val="30"/>
          <w:lang w:val="en-US" w:eastAsia="zh-CN"/>
        </w:rPr>
        <w:t>5</w:t>
      </w:r>
      <w:r>
        <w:rPr>
          <w:rFonts w:hint="eastAsia" w:cs="宋体" w:asciiTheme="minorEastAsia" w:hAnsiTheme="minorEastAsia"/>
          <w:b/>
          <w:bCs/>
          <w:color w:val="333333"/>
          <w:kern w:val="0"/>
          <w:sz w:val="30"/>
          <w:szCs w:val="30"/>
        </w:rPr>
        <w:t>年第二次学位授予等相关工作</w:t>
      </w:r>
      <w:r>
        <w:rPr>
          <w:rFonts w:hint="eastAsia" w:cs="宋体" w:asciiTheme="minorEastAsia" w:hAnsiTheme="minorEastAsia"/>
          <w:b/>
          <w:bCs/>
          <w:color w:val="333333"/>
          <w:kern w:val="0"/>
          <w:sz w:val="30"/>
          <w:szCs w:val="30"/>
          <w:lang w:val="en-US" w:eastAsia="zh-CN"/>
        </w:rPr>
        <w:t>安排表</w:t>
      </w:r>
    </w:p>
    <w:p w14:paraId="7A44A2C2">
      <w:pPr>
        <w:widowControl/>
        <w:spacing w:before="312" w:beforeLines="100" w:line="360" w:lineRule="auto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/>
          <w:kern w:val="0"/>
          <w:sz w:val="24"/>
          <w:szCs w:val="24"/>
        </w:rPr>
        <w:t>各研究生培养学院：</w:t>
      </w:r>
    </w:p>
    <w:p w14:paraId="70E576B5">
      <w:pPr>
        <w:widowControl/>
        <w:spacing w:line="360" w:lineRule="auto"/>
        <w:ind w:firstLine="480" w:firstLineChars="200"/>
        <w:jc w:val="left"/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color w:val="333333"/>
          <w:sz w:val="24"/>
          <w:szCs w:val="24"/>
          <w:shd w:val="clear" w:color="auto" w:fill="FFFFFF"/>
        </w:rPr>
        <w:t>20</w:t>
      </w:r>
      <w:r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2</w:t>
      </w:r>
      <w:r>
        <w:rPr>
          <w:rFonts w:hint="eastAsia" w:asciiTheme="minorEastAsia" w:hAnsiTheme="minorEastAsia"/>
          <w:color w:val="333333"/>
          <w:sz w:val="24"/>
          <w:szCs w:val="24"/>
          <w:shd w:val="clear" w:color="auto" w:fill="FFFFFF"/>
          <w:lang w:val="en-US" w:eastAsia="zh-CN"/>
        </w:rPr>
        <w:t>5</w:t>
      </w:r>
      <w:r>
        <w:rPr>
          <w:rFonts w:hint="eastAsia" w:asciiTheme="minorEastAsia" w:hAnsiTheme="minorEastAsia"/>
          <w:color w:val="333333"/>
          <w:sz w:val="24"/>
          <w:szCs w:val="24"/>
          <w:shd w:val="clear" w:color="auto" w:fill="FFFFFF"/>
        </w:rPr>
        <w:t>年3-4月学位论文盲审及20</w:t>
      </w:r>
      <w:r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2</w:t>
      </w:r>
      <w:r>
        <w:rPr>
          <w:rFonts w:hint="eastAsia" w:asciiTheme="minorEastAsia" w:hAnsiTheme="minorEastAsia"/>
          <w:color w:val="333333"/>
          <w:sz w:val="24"/>
          <w:szCs w:val="24"/>
          <w:shd w:val="clear" w:color="auto" w:fill="FFFFFF"/>
          <w:lang w:val="en-US" w:eastAsia="zh-CN"/>
        </w:rPr>
        <w:t>5</w:t>
      </w:r>
      <w:r>
        <w:rPr>
          <w:rFonts w:hint="eastAsia" w:asciiTheme="minorEastAsia" w:hAnsiTheme="minorEastAsia"/>
          <w:color w:val="333333"/>
          <w:sz w:val="24"/>
          <w:szCs w:val="24"/>
          <w:shd w:val="clear" w:color="auto" w:fill="FFFFFF"/>
        </w:rPr>
        <w:t>年第二次学位授予</w:t>
      </w:r>
      <w:r>
        <w:rPr>
          <w:rFonts w:hint="eastAsia" w:asciiTheme="minorEastAsia" w:hAnsiTheme="minorEastAsia"/>
          <w:color w:val="333333"/>
          <w:sz w:val="24"/>
          <w:szCs w:val="24"/>
          <w:shd w:val="clear" w:color="auto" w:fill="FFFFFF"/>
          <w:lang w:val="en-US" w:eastAsia="zh-CN"/>
        </w:rPr>
        <w:t>等相关工作大致安排</w:t>
      </w:r>
      <w:r>
        <w:rPr>
          <w:rFonts w:hint="eastAsia" w:asciiTheme="minorEastAsia" w:hAnsiTheme="minorEastAsia"/>
          <w:color w:val="333333"/>
          <w:sz w:val="24"/>
          <w:szCs w:val="24"/>
          <w:shd w:val="clear" w:color="auto" w:fill="FFFFFF"/>
        </w:rPr>
        <w:t>如下。本次论文盲审对象为</w:t>
      </w:r>
      <w:r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20</w:t>
      </w:r>
      <w:r>
        <w:rPr>
          <w:rFonts w:hint="eastAsia" w:asciiTheme="minorEastAsia" w:hAnsiTheme="minorEastAsia"/>
          <w:color w:val="333333"/>
          <w:sz w:val="24"/>
          <w:szCs w:val="24"/>
          <w:shd w:val="clear" w:color="auto" w:fill="FFFFFF"/>
        </w:rPr>
        <w:t>2</w:t>
      </w:r>
      <w:r>
        <w:rPr>
          <w:rFonts w:hint="eastAsia" w:asciiTheme="minorEastAsia" w:hAnsiTheme="minorEastAsia"/>
          <w:color w:val="333333"/>
          <w:sz w:val="24"/>
          <w:szCs w:val="24"/>
          <w:shd w:val="clear" w:color="auto" w:fill="FFFFFF"/>
          <w:lang w:val="en-US" w:eastAsia="zh-CN"/>
        </w:rPr>
        <w:t>2</w:t>
      </w:r>
      <w:r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级学术学位研究生</w:t>
      </w:r>
      <w:r>
        <w:rPr>
          <w:rFonts w:hint="eastAsia" w:asciiTheme="minorEastAsia" w:hAnsiTheme="minorEastAsia"/>
          <w:color w:val="333333"/>
          <w:sz w:val="24"/>
          <w:szCs w:val="24"/>
          <w:shd w:val="clear" w:color="auto" w:fill="FFFFFF"/>
        </w:rPr>
        <w:t>（含博士和硕士）、2</w:t>
      </w:r>
      <w:r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0</w:t>
      </w:r>
      <w:r>
        <w:rPr>
          <w:rFonts w:hint="eastAsia" w:asciiTheme="minorEastAsia" w:hAnsiTheme="minorEastAsia"/>
          <w:color w:val="333333"/>
          <w:sz w:val="24"/>
          <w:szCs w:val="24"/>
          <w:shd w:val="clear" w:color="auto" w:fill="FFFFFF"/>
        </w:rPr>
        <w:t>2</w:t>
      </w:r>
      <w:r>
        <w:rPr>
          <w:rFonts w:hint="eastAsia" w:asciiTheme="minorEastAsia" w:hAnsiTheme="minorEastAsia"/>
          <w:color w:val="333333"/>
          <w:sz w:val="24"/>
          <w:szCs w:val="24"/>
          <w:shd w:val="clear" w:color="auto" w:fill="FFFFFF"/>
          <w:lang w:val="en-US" w:eastAsia="zh-CN"/>
        </w:rPr>
        <w:t>2</w:t>
      </w:r>
      <w:r>
        <w:rPr>
          <w:rFonts w:hint="eastAsia" w:asciiTheme="minorEastAsia" w:hAnsiTheme="minorEastAsia"/>
          <w:color w:val="333333"/>
          <w:sz w:val="24"/>
          <w:szCs w:val="24"/>
          <w:shd w:val="clear" w:color="auto" w:fill="FFFFFF"/>
        </w:rPr>
        <w:t>级</w:t>
      </w:r>
      <w:r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专业</w:t>
      </w:r>
      <w:r>
        <w:rPr>
          <w:rFonts w:hint="eastAsia" w:asciiTheme="minorEastAsia" w:hAnsiTheme="minorEastAsia"/>
          <w:color w:val="333333"/>
          <w:sz w:val="24"/>
          <w:szCs w:val="24"/>
          <w:shd w:val="clear" w:color="auto" w:fill="FFFFFF"/>
        </w:rPr>
        <w:t>学位</w:t>
      </w:r>
      <w:r>
        <w:rPr>
          <w:rFonts w:asciiTheme="minorEastAsia" w:hAnsiTheme="minorEastAsia"/>
          <w:color w:val="333333"/>
          <w:sz w:val="24"/>
          <w:szCs w:val="24"/>
          <w:shd w:val="clear" w:color="auto" w:fill="FFFFFF"/>
        </w:rPr>
        <w:t>硕士研究生（未参加或未通过盲审）</w:t>
      </w:r>
      <w:r>
        <w:rPr>
          <w:rFonts w:hint="eastAsia" w:asciiTheme="minorEastAsia" w:hAnsiTheme="minorEastAsia"/>
          <w:color w:val="333333"/>
          <w:sz w:val="24"/>
          <w:szCs w:val="24"/>
          <w:shd w:val="clear" w:color="auto" w:fill="FFFFFF"/>
        </w:rPr>
        <w:t>及以前尚未毕业并符合条件的研究生（含博士和硕士），为保障学位论文盲审后的修改时间，提升学位论文质量，本次送审分两个批次，请各学院结合实际情况进行安排。</w:t>
      </w:r>
    </w:p>
    <w:p w14:paraId="430F5DE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tbl>
      <w:tblPr>
        <w:tblStyle w:val="6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056"/>
      </w:tblGrid>
      <w:tr w14:paraId="2374B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vAlign w:val="center"/>
          </w:tcPr>
          <w:p w14:paraId="6B50543C">
            <w:pPr>
              <w:jc w:val="center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时  间</w:t>
            </w:r>
          </w:p>
        </w:tc>
        <w:tc>
          <w:tcPr>
            <w:tcW w:w="11056" w:type="dxa"/>
            <w:vAlign w:val="center"/>
          </w:tcPr>
          <w:p w14:paraId="44DE467C">
            <w:pPr>
              <w:jc w:val="center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工  作  事  项</w:t>
            </w:r>
          </w:p>
        </w:tc>
      </w:tr>
      <w:tr w14:paraId="3866F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vMerge w:val="restart"/>
            <w:vAlign w:val="center"/>
          </w:tcPr>
          <w:p w14:paraId="42BF7C39">
            <w:pPr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第一批</w:t>
            </w:r>
            <w:r>
              <w:rPr>
                <w:rFonts w:hint="eastAsia" w:ascii="仿宋" w:hAnsi="仿宋" w:eastAsia="仿宋"/>
                <w:szCs w:val="21"/>
              </w:rPr>
              <w:t>：3月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19</w:t>
            </w:r>
            <w:r>
              <w:rPr>
                <w:rFonts w:hint="eastAsia" w:ascii="仿宋" w:hAnsi="仿宋" w:eastAsia="仿宋"/>
                <w:szCs w:val="21"/>
              </w:rPr>
              <w:t>日提交论文，3月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21</w:t>
            </w:r>
            <w:r>
              <w:rPr>
                <w:rFonts w:hint="eastAsia" w:ascii="仿宋" w:hAnsi="仿宋" w:eastAsia="仿宋"/>
                <w:szCs w:val="21"/>
              </w:rPr>
              <w:t>日送审。</w:t>
            </w:r>
          </w:p>
          <w:p w14:paraId="49296673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第二批：4月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/>
                <w:szCs w:val="21"/>
              </w:rPr>
              <w:t>日提交论文，4月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11</w:t>
            </w:r>
            <w:r>
              <w:rPr>
                <w:rFonts w:hint="eastAsia" w:ascii="仿宋" w:hAnsi="仿宋" w:eastAsia="仿宋"/>
                <w:szCs w:val="21"/>
              </w:rPr>
              <w:t>日送审。</w:t>
            </w:r>
          </w:p>
        </w:tc>
        <w:tc>
          <w:tcPr>
            <w:tcW w:w="11056" w:type="dxa"/>
            <w:vAlign w:val="center"/>
          </w:tcPr>
          <w:p w14:paraId="6D0C4716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学院审核《研究生学位论文送审资格审查表》、研究生科研工作情况，接收学位论文。</w:t>
            </w:r>
          </w:p>
        </w:tc>
      </w:tr>
      <w:tr w14:paraId="527A3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vMerge w:val="continue"/>
            <w:vAlign w:val="center"/>
          </w:tcPr>
          <w:p w14:paraId="143C0696"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056" w:type="dxa"/>
            <w:vAlign w:val="center"/>
          </w:tcPr>
          <w:p w14:paraId="20A155ED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学院向研究生院提交</w:t>
            </w:r>
            <w:r>
              <w:rPr>
                <w:rFonts w:hint="eastAsia" w:ascii="仿宋" w:hAnsi="仿宋" w:eastAsia="仿宋"/>
                <w:b/>
                <w:szCs w:val="21"/>
              </w:rPr>
              <w:t>盲审格式</w:t>
            </w:r>
            <w:r>
              <w:rPr>
                <w:rFonts w:hint="eastAsia" w:ascii="仿宋" w:hAnsi="仿宋" w:eastAsia="仿宋"/>
                <w:szCs w:val="21"/>
              </w:rPr>
              <w:t>学位论文（pdf格式），上传网络评审系统，</w:t>
            </w:r>
            <w:r>
              <w:rPr>
                <w:rFonts w:hint="eastAsia" w:ascii="仿宋" w:hAnsi="仿宋" w:eastAsia="仿宋"/>
                <w:b/>
                <w:szCs w:val="21"/>
              </w:rPr>
              <w:t>附录中“攻读学位期间取得的研究成果”部分请采用附件</w:t>
            </w:r>
            <w:r>
              <w:rPr>
                <w:rFonts w:hint="eastAsia" w:ascii="仿宋" w:hAnsi="仿宋" w:eastAsia="仿宋"/>
                <w:b/>
                <w:szCs w:val="21"/>
                <w:lang w:val="en-US" w:eastAsia="zh-CN"/>
              </w:rPr>
              <w:t>13</w:t>
            </w:r>
            <w:r>
              <w:rPr>
                <w:rFonts w:hint="eastAsia" w:ascii="仿宋" w:hAnsi="仿宋" w:eastAsia="仿宋"/>
                <w:b/>
                <w:szCs w:val="21"/>
              </w:rPr>
              <w:t>格式</w:t>
            </w:r>
            <w:r>
              <w:rPr>
                <w:rFonts w:hint="eastAsia" w:ascii="仿宋" w:hAnsi="仿宋" w:eastAsia="仿宋"/>
                <w:szCs w:val="21"/>
              </w:rPr>
              <w:t>，其余部分要求不变。研究生院进行学术不端检测，</w:t>
            </w:r>
            <w:r>
              <w:rPr>
                <w:rFonts w:ascii="仿宋" w:hAnsi="仿宋" w:eastAsia="仿宋"/>
                <w:szCs w:val="21"/>
              </w:rPr>
              <w:t>“去除本人</w:t>
            </w:r>
            <w:r>
              <w:rPr>
                <w:rFonts w:hint="eastAsia" w:ascii="仿宋" w:hAnsi="仿宋" w:eastAsia="仿宋"/>
                <w:szCs w:val="21"/>
              </w:rPr>
              <w:t>复制比</w:t>
            </w:r>
            <w:r>
              <w:rPr>
                <w:rFonts w:ascii="仿宋" w:hAnsi="仿宋" w:eastAsia="仿宋"/>
                <w:szCs w:val="21"/>
              </w:rPr>
              <w:t>”小于或等于</w:t>
            </w:r>
            <w:r>
              <w:rPr>
                <w:rFonts w:hint="eastAsia" w:ascii="仿宋" w:hAnsi="仿宋" w:eastAsia="仿宋"/>
                <w:szCs w:val="21"/>
              </w:rPr>
              <w:t>10%的直接送审，</w:t>
            </w:r>
            <w:r>
              <w:rPr>
                <w:rFonts w:ascii="仿宋" w:hAnsi="仿宋" w:eastAsia="仿宋"/>
                <w:szCs w:val="21"/>
              </w:rPr>
              <w:t>超过10%</w:t>
            </w:r>
            <w:r>
              <w:rPr>
                <w:rFonts w:hint="eastAsia" w:ascii="仿宋" w:hAnsi="仿宋" w:eastAsia="仿宋"/>
                <w:szCs w:val="21"/>
              </w:rPr>
              <w:t>且</w:t>
            </w:r>
            <w:r>
              <w:rPr>
                <w:rFonts w:ascii="仿宋" w:hAnsi="仿宋" w:eastAsia="仿宋"/>
                <w:szCs w:val="21"/>
              </w:rPr>
              <w:t>小于或等于</w:t>
            </w:r>
            <w:r>
              <w:rPr>
                <w:rFonts w:hint="eastAsia" w:ascii="仿宋" w:hAnsi="仿宋" w:eastAsia="仿宋"/>
                <w:szCs w:val="21"/>
              </w:rPr>
              <w:t>15%的，须修改后再次检测，</w:t>
            </w:r>
            <w:r>
              <w:rPr>
                <w:rFonts w:hint="eastAsia" w:ascii="仿宋" w:hAnsi="仿宋" w:eastAsia="仿宋"/>
                <w:b/>
                <w:szCs w:val="21"/>
              </w:rPr>
              <w:t>超过</w:t>
            </w:r>
            <w:r>
              <w:rPr>
                <w:rFonts w:ascii="仿宋" w:hAnsi="仿宋" w:eastAsia="仿宋"/>
                <w:b/>
                <w:szCs w:val="21"/>
              </w:rPr>
              <w:t>15%</w:t>
            </w:r>
            <w:r>
              <w:rPr>
                <w:rFonts w:hint="eastAsia" w:ascii="仿宋" w:hAnsi="仿宋" w:eastAsia="仿宋"/>
                <w:b/>
                <w:szCs w:val="21"/>
              </w:rPr>
              <w:t>的不予送审</w:t>
            </w:r>
            <w:r>
              <w:rPr>
                <w:rFonts w:hint="eastAsia" w:ascii="仿宋" w:hAnsi="仿宋" w:eastAsia="仿宋"/>
                <w:szCs w:val="21"/>
              </w:rPr>
              <w:t>。通过检测的论文，送审时不得再进行修改或更换。学院向研究生院提交《研究生学位论文送审清单》（纸质、电子版）。</w:t>
            </w:r>
          </w:p>
        </w:tc>
      </w:tr>
      <w:tr w14:paraId="54E5D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vMerge w:val="continue"/>
            <w:vAlign w:val="center"/>
          </w:tcPr>
          <w:p w14:paraId="58842733"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056" w:type="dxa"/>
            <w:vAlign w:val="center"/>
          </w:tcPr>
          <w:p w14:paraId="0909D8F9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研究生院对网络评审系统进行送审操作。</w:t>
            </w:r>
            <w:r>
              <w:rPr>
                <w:rFonts w:ascii="仿宋" w:hAnsi="仿宋" w:eastAsia="仿宋"/>
                <w:szCs w:val="21"/>
              </w:rPr>
              <w:t>(</w:t>
            </w:r>
            <w:r>
              <w:rPr>
                <w:rFonts w:hint="eastAsia" w:ascii="仿宋" w:hAnsi="仿宋" w:eastAsia="仿宋"/>
                <w:szCs w:val="21"/>
              </w:rPr>
              <w:t>对</w:t>
            </w:r>
            <w:r>
              <w:rPr>
                <w:rFonts w:hint="eastAsia" w:ascii="仿宋" w:hAnsi="仿宋" w:eastAsia="仿宋"/>
                <w:b/>
                <w:szCs w:val="21"/>
              </w:rPr>
              <w:t>所有</w:t>
            </w:r>
            <w:r>
              <w:rPr>
                <w:rFonts w:hint="eastAsia" w:ascii="仿宋" w:hAnsi="仿宋" w:eastAsia="仿宋"/>
                <w:szCs w:val="21"/>
              </w:rPr>
              <w:t>盲审返回的学位论文，学院须督促研究生根据评阅意见对论文进行</w:t>
            </w:r>
            <w:r>
              <w:rPr>
                <w:rFonts w:hint="eastAsia" w:ascii="仿宋" w:hAnsi="仿宋" w:eastAsia="仿宋"/>
                <w:color w:val="333333"/>
                <w:szCs w:val="21"/>
                <w:shd w:val="clear" w:color="auto" w:fill="FFFFFF"/>
              </w:rPr>
              <w:t>认真修改，并提交《研究生学位论文修改情况说明表》。</w:t>
            </w:r>
            <w:r>
              <w:rPr>
                <w:rFonts w:ascii="仿宋" w:hAnsi="仿宋" w:eastAsia="仿宋"/>
                <w:color w:val="333333"/>
                <w:szCs w:val="21"/>
                <w:shd w:val="clear" w:color="auto" w:fill="FFFFFF"/>
              </w:rPr>
              <w:t>)</w:t>
            </w:r>
          </w:p>
        </w:tc>
      </w:tr>
      <w:tr w14:paraId="23908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vAlign w:val="center"/>
          </w:tcPr>
          <w:p w14:paraId="13AB314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5</w:t>
            </w:r>
            <w:r>
              <w:rPr>
                <w:rFonts w:hint="eastAsia" w:ascii="仿宋" w:hAnsi="仿宋" w:eastAsia="仿宋"/>
                <w:szCs w:val="21"/>
              </w:rPr>
              <w:t>月30日前</w:t>
            </w:r>
          </w:p>
        </w:tc>
        <w:tc>
          <w:tcPr>
            <w:tcW w:w="11056" w:type="dxa"/>
            <w:vAlign w:val="center"/>
          </w:tcPr>
          <w:p w14:paraId="75DB5F09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学院组织完成论文答辩，并及时在“学位与研究生教育管理系统”中核对学位论文题目（</w:t>
            </w:r>
            <w:r>
              <w:rPr>
                <w:rFonts w:hint="eastAsia" w:ascii="仿宋" w:hAnsi="仿宋" w:eastAsia="仿宋"/>
                <w:b/>
                <w:szCs w:val="21"/>
              </w:rPr>
              <w:t>中英文</w:t>
            </w:r>
            <w:r>
              <w:rPr>
                <w:rFonts w:hint="eastAsia" w:ascii="仿宋" w:hAnsi="仿宋" w:eastAsia="仿宋"/>
                <w:szCs w:val="21"/>
              </w:rPr>
              <w:t>）、录入学位论文盲审成绩、答辩委员会信息和答辩成绩。研究生教学督导组对学位论文答辩过程进行督导。</w:t>
            </w:r>
          </w:p>
        </w:tc>
      </w:tr>
      <w:tr w14:paraId="6149A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vAlign w:val="center"/>
          </w:tcPr>
          <w:p w14:paraId="3D3B026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6</w:t>
            </w:r>
            <w:r>
              <w:rPr>
                <w:rFonts w:hint="eastAsia" w:ascii="仿宋" w:hAnsi="仿宋" w:eastAsia="仿宋"/>
                <w:szCs w:val="21"/>
              </w:rPr>
              <w:t>月4日前</w:t>
            </w:r>
          </w:p>
        </w:tc>
        <w:tc>
          <w:tcPr>
            <w:tcW w:w="11056" w:type="dxa"/>
            <w:vAlign w:val="center"/>
          </w:tcPr>
          <w:p w14:paraId="00EA75AD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color w:val="333333"/>
                <w:szCs w:val="21"/>
                <w:shd w:val="clear" w:color="auto" w:fill="FFFFFF"/>
              </w:rPr>
              <w:t>研究生在</w:t>
            </w:r>
            <w:r>
              <w:rPr>
                <w:rFonts w:hint="eastAsia" w:ascii="仿宋" w:hAnsi="仿宋" w:eastAsia="仿宋"/>
                <w:szCs w:val="21"/>
              </w:rPr>
              <w:t>“学位与研究生教育管理系统”</w:t>
            </w:r>
            <w:r>
              <w:rPr>
                <w:rFonts w:hint="eastAsia" w:ascii="仿宋" w:hAnsi="仿宋" w:eastAsia="仿宋"/>
                <w:color w:val="333333"/>
                <w:szCs w:val="21"/>
                <w:shd w:val="clear" w:color="auto" w:fill="FFFFFF"/>
              </w:rPr>
              <w:t>中完成“学位申请提交”和“学位信息确认”环节。</w:t>
            </w:r>
            <w:r>
              <w:rPr>
                <w:rFonts w:hint="eastAsia" w:ascii="仿宋" w:hAnsi="仿宋" w:eastAsia="仿宋"/>
                <w:b/>
                <w:color w:val="333333"/>
                <w:szCs w:val="21"/>
                <w:shd w:val="clear" w:color="auto" w:fill="FFFFFF"/>
              </w:rPr>
              <w:t>确认时务必保证所有信息准确完整</w:t>
            </w:r>
            <w:r>
              <w:rPr>
                <w:rFonts w:hint="eastAsia" w:ascii="仿宋" w:hAnsi="仿宋" w:eastAsia="仿宋"/>
                <w:color w:val="333333"/>
                <w:szCs w:val="21"/>
                <w:shd w:val="clear" w:color="auto" w:fill="FFFFFF"/>
              </w:rPr>
              <w:t>（</w:t>
            </w:r>
            <w:r>
              <w:rPr>
                <w:rStyle w:val="8"/>
                <w:rFonts w:hint="eastAsia" w:ascii="仿宋" w:hAnsi="仿宋" w:eastAsia="仿宋"/>
                <w:color w:val="333333"/>
                <w:szCs w:val="21"/>
                <w:shd w:val="clear" w:color="auto" w:fill="FFFFFF"/>
              </w:rPr>
              <w:t>涉及学位证制作及教育部学位中心的学位信息上报</w:t>
            </w:r>
            <w:r>
              <w:rPr>
                <w:rStyle w:val="8"/>
                <w:rFonts w:hint="eastAsia" w:ascii="仿宋" w:hAnsi="仿宋" w:eastAsia="仿宋"/>
                <w:color w:val="333333"/>
                <w:szCs w:val="21"/>
                <w:shd w:val="clear" w:color="auto" w:fill="FFFFFF"/>
                <w:lang w:eastAsia="zh-CN"/>
              </w:rPr>
              <w:t>，</w:t>
            </w:r>
            <w:r>
              <w:rPr>
                <w:rStyle w:val="8"/>
                <w:rFonts w:hint="eastAsia" w:ascii="仿宋" w:hAnsi="仿宋" w:eastAsia="仿宋"/>
                <w:color w:val="333333"/>
                <w:szCs w:val="21"/>
                <w:shd w:val="clear" w:color="auto" w:fill="FFFFFF"/>
              </w:rPr>
              <w:t>非常重要，</w:t>
            </w:r>
            <w:r>
              <w:rPr>
                <w:rStyle w:val="8"/>
                <w:rFonts w:hint="eastAsia" w:ascii="仿宋" w:hAnsi="仿宋" w:eastAsia="仿宋"/>
                <w:color w:val="333333"/>
                <w:szCs w:val="21"/>
                <w:shd w:val="clear" w:color="auto" w:fill="FFFFFF"/>
                <w:lang w:val="en-US" w:eastAsia="zh-CN"/>
              </w:rPr>
              <w:t>请各位研究生认真对待</w:t>
            </w:r>
            <w:r>
              <w:rPr>
                <w:rStyle w:val="8"/>
                <w:rFonts w:hint="eastAsia" w:ascii="仿宋" w:hAnsi="仿宋" w:eastAsia="仿宋"/>
                <w:color w:val="333333"/>
                <w:szCs w:val="21"/>
                <w:shd w:val="clear" w:color="auto" w:fill="FFFFFF"/>
              </w:rPr>
              <w:t>）</w:t>
            </w:r>
            <w:r>
              <w:rPr>
                <w:rFonts w:hint="eastAsia" w:ascii="仿宋" w:hAnsi="仿宋" w:eastAsia="仿宋"/>
                <w:color w:val="333333"/>
                <w:szCs w:val="21"/>
                <w:shd w:val="clear" w:color="auto" w:fill="FFFFFF"/>
              </w:rPr>
              <w:t>。学院完成学位审核。</w:t>
            </w:r>
          </w:p>
        </w:tc>
      </w:tr>
      <w:tr w14:paraId="7FFEB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vAlign w:val="center"/>
          </w:tcPr>
          <w:p w14:paraId="0DDB1D2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6</w:t>
            </w:r>
            <w:r>
              <w:rPr>
                <w:rFonts w:hint="eastAsia" w:ascii="仿宋" w:hAnsi="仿宋" w:eastAsia="仿宋"/>
                <w:szCs w:val="21"/>
              </w:rPr>
              <w:t>月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szCs w:val="21"/>
              </w:rPr>
              <w:t>日前</w:t>
            </w:r>
          </w:p>
        </w:tc>
        <w:tc>
          <w:tcPr>
            <w:tcW w:w="11056" w:type="dxa"/>
            <w:vAlign w:val="center"/>
          </w:tcPr>
          <w:p w14:paraId="61829785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color w:val="333333"/>
                <w:szCs w:val="21"/>
                <w:shd w:val="clear" w:color="auto" w:fill="FFFFFF"/>
              </w:rPr>
              <w:t>学院汇总、审核研究生的学位申请材料，将</w:t>
            </w:r>
            <w:r>
              <w:rPr>
                <w:rStyle w:val="8"/>
                <w:rFonts w:hint="eastAsia" w:ascii="仿宋" w:hAnsi="仿宋" w:eastAsia="仿宋"/>
                <w:color w:val="333333"/>
                <w:szCs w:val="21"/>
                <w:shd w:val="clear" w:color="auto" w:fill="FFFFFF"/>
              </w:rPr>
              <w:t>《学位申请汇总表》</w:t>
            </w:r>
            <w:r>
              <w:rPr>
                <w:rStyle w:val="8"/>
                <w:rFonts w:hint="eastAsia" w:ascii="仿宋" w:hAnsi="仿宋" w:eastAsia="仿宋"/>
                <w:color w:val="333333"/>
                <w:szCs w:val="21"/>
                <w:shd w:val="clear" w:color="auto" w:fill="FFFFFF"/>
                <w:lang w:eastAsia="zh-CN"/>
              </w:rPr>
              <w:t>、《</w:t>
            </w:r>
            <w:r>
              <w:rPr>
                <w:rStyle w:val="8"/>
                <w:rFonts w:hint="eastAsia" w:ascii="仿宋" w:hAnsi="仿宋" w:eastAsia="仿宋"/>
                <w:color w:val="333333"/>
                <w:szCs w:val="21"/>
                <w:shd w:val="clear" w:color="auto" w:fill="FFFFFF"/>
                <w:lang w:val="en-US" w:eastAsia="zh-CN"/>
              </w:rPr>
              <w:t>博士简况表》</w:t>
            </w:r>
            <w:r>
              <w:rPr>
                <w:rStyle w:val="8"/>
                <w:rFonts w:hint="eastAsia" w:ascii="仿宋" w:hAnsi="仿宋" w:eastAsia="仿宋"/>
                <w:color w:val="333333"/>
                <w:szCs w:val="21"/>
                <w:shd w:val="clear" w:color="auto" w:fill="FFFFFF"/>
              </w:rPr>
              <w:t>（纸质、电子版）、</w:t>
            </w:r>
            <w:r>
              <w:rPr>
                <w:rStyle w:val="8"/>
                <w:rFonts w:hint="eastAsia" w:ascii="仿宋" w:hAnsi="仿宋" w:eastAsia="仿宋"/>
                <w:color w:val="333333"/>
                <w:szCs w:val="21"/>
                <w:shd w:val="clear" w:color="auto" w:fill="FFFFFF"/>
                <w:lang w:eastAsia="zh-CN"/>
              </w:rPr>
              <w:t>《</w:t>
            </w:r>
            <w:r>
              <w:rPr>
                <w:rStyle w:val="8"/>
                <w:rFonts w:hint="eastAsia" w:ascii="仿宋" w:hAnsi="仿宋" w:eastAsia="仿宋"/>
                <w:color w:val="333333"/>
                <w:szCs w:val="21"/>
                <w:shd w:val="clear" w:color="auto" w:fill="FFFFFF"/>
              </w:rPr>
              <w:t>科技工作考核表</w:t>
            </w:r>
            <w:r>
              <w:rPr>
                <w:rStyle w:val="8"/>
                <w:rFonts w:hint="eastAsia" w:ascii="仿宋" w:hAnsi="仿宋" w:eastAsia="仿宋"/>
                <w:color w:val="333333"/>
                <w:szCs w:val="21"/>
                <w:shd w:val="clear" w:color="auto" w:fill="FFFFFF"/>
                <w:lang w:eastAsia="zh-CN"/>
              </w:rPr>
              <w:t>》</w:t>
            </w:r>
            <w:r>
              <w:rPr>
                <w:rStyle w:val="8"/>
                <w:rFonts w:hint="eastAsia" w:ascii="仿宋" w:hAnsi="仿宋" w:eastAsia="仿宋"/>
                <w:color w:val="333333"/>
                <w:szCs w:val="21"/>
                <w:shd w:val="clear" w:color="auto" w:fill="FFFFFF"/>
              </w:rPr>
              <w:t>及佐证材料（纸质版）、</w:t>
            </w:r>
            <w:r>
              <w:rPr>
                <w:rStyle w:val="8"/>
                <w:rFonts w:hint="eastAsia" w:ascii="仿宋" w:hAnsi="仿宋" w:eastAsia="仿宋"/>
                <w:color w:val="333333"/>
                <w:szCs w:val="21"/>
                <w:shd w:val="clear" w:color="auto" w:fill="FFFFFF"/>
                <w:lang w:eastAsia="zh-CN"/>
              </w:rPr>
              <w:t>《</w:t>
            </w:r>
            <w:r>
              <w:rPr>
                <w:rStyle w:val="8"/>
                <w:rFonts w:hint="eastAsia" w:ascii="仿宋" w:hAnsi="仿宋" w:eastAsia="仿宋"/>
                <w:color w:val="333333"/>
                <w:szCs w:val="21"/>
                <w:shd w:val="clear" w:color="auto" w:fill="FFFFFF"/>
              </w:rPr>
              <w:t>学位申请书</w:t>
            </w:r>
            <w:r>
              <w:rPr>
                <w:rStyle w:val="8"/>
                <w:rFonts w:hint="eastAsia" w:ascii="仿宋" w:hAnsi="仿宋" w:eastAsia="仿宋"/>
                <w:color w:val="333333"/>
                <w:szCs w:val="21"/>
                <w:shd w:val="clear" w:color="auto" w:fill="FFFFFF"/>
                <w:lang w:eastAsia="zh-CN"/>
              </w:rPr>
              <w:t>》</w:t>
            </w:r>
            <w:r>
              <w:rPr>
                <w:rStyle w:val="8"/>
                <w:rFonts w:hint="eastAsia" w:ascii="仿宋" w:hAnsi="仿宋" w:eastAsia="仿宋"/>
                <w:color w:val="333333"/>
                <w:szCs w:val="21"/>
                <w:shd w:val="clear" w:color="auto" w:fill="FFFFFF"/>
              </w:rPr>
              <w:t>（纸质版）</w:t>
            </w:r>
            <w:r>
              <w:rPr>
                <w:rFonts w:hint="eastAsia" w:ascii="仿宋" w:hAnsi="仿宋" w:eastAsia="仿宋"/>
                <w:color w:val="333333"/>
                <w:szCs w:val="21"/>
                <w:shd w:val="clear" w:color="auto" w:fill="FFFFFF"/>
              </w:rPr>
              <w:t>统一交至研究生院学位办。学位评定委员会召开之前，研究生院对相关材料进行复核。</w:t>
            </w:r>
          </w:p>
        </w:tc>
      </w:tr>
      <w:tr w14:paraId="69E08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vAlign w:val="center"/>
          </w:tcPr>
          <w:p w14:paraId="66B0D13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6</w:t>
            </w:r>
            <w:r>
              <w:rPr>
                <w:rFonts w:hint="eastAsia" w:ascii="仿宋" w:hAnsi="仿宋" w:eastAsia="仿宋"/>
                <w:szCs w:val="21"/>
              </w:rPr>
              <w:t>月中旬左右(待定)</w:t>
            </w:r>
          </w:p>
        </w:tc>
        <w:tc>
          <w:tcPr>
            <w:tcW w:w="11056" w:type="dxa"/>
            <w:vAlign w:val="center"/>
          </w:tcPr>
          <w:p w14:paraId="15AC4129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color w:val="333333"/>
                <w:szCs w:val="21"/>
                <w:shd w:val="clear" w:color="auto" w:fill="FFFFFF"/>
              </w:rPr>
              <w:t>202</w:t>
            </w:r>
            <w:r>
              <w:rPr>
                <w:rFonts w:hint="eastAsia" w:ascii="仿宋" w:hAnsi="仿宋" w:eastAsia="仿宋"/>
                <w:color w:val="333333"/>
                <w:szCs w:val="21"/>
                <w:shd w:val="clear" w:color="auto" w:fill="FFFFFF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color w:val="333333"/>
                <w:szCs w:val="21"/>
                <w:shd w:val="clear" w:color="auto" w:fill="FFFFFF"/>
              </w:rPr>
              <w:t>年第二次校学位评定委员会召开，审议学位申请材料。</w:t>
            </w:r>
          </w:p>
        </w:tc>
      </w:tr>
    </w:tbl>
    <w:p w14:paraId="451A243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bookmarkStart w:id="0" w:name="_GoBack"/>
      <w:bookmarkEnd w:id="0"/>
    </w:p>
    <w:sectPr>
      <w:pgSz w:w="16838" w:h="11906" w:orient="landscape"/>
      <w:pgMar w:top="567" w:right="1440" w:bottom="56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D20"/>
    <w:rsid w:val="0000770A"/>
    <w:rsid w:val="00011F37"/>
    <w:rsid w:val="00021E22"/>
    <w:rsid w:val="000250F8"/>
    <w:rsid w:val="00030A9A"/>
    <w:rsid w:val="000333FE"/>
    <w:rsid w:val="00035C7A"/>
    <w:rsid w:val="00041B19"/>
    <w:rsid w:val="000444D9"/>
    <w:rsid w:val="00067008"/>
    <w:rsid w:val="000725D4"/>
    <w:rsid w:val="000C62E2"/>
    <w:rsid w:val="000D717E"/>
    <w:rsid w:val="000D7DD5"/>
    <w:rsid w:val="000E3422"/>
    <w:rsid w:val="000E3DA1"/>
    <w:rsid w:val="00101CC1"/>
    <w:rsid w:val="00182128"/>
    <w:rsid w:val="00185293"/>
    <w:rsid w:val="001A1E60"/>
    <w:rsid w:val="00283826"/>
    <w:rsid w:val="00290D75"/>
    <w:rsid w:val="002A1856"/>
    <w:rsid w:val="002B7802"/>
    <w:rsid w:val="002F051D"/>
    <w:rsid w:val="003139D7"/>
    <w:rsid w:val="00316E86"/>
    <w:rsid w:val="0032717F"/>
    <w:rsid w:val="00342AA2"/>
    <w:rsid w:val="0037307B"/>
    <w:rsid w:val="003735A4"/>
    <w:rsid w:val="00383E26"/>
    <w:rsid w:val="00384A35"/>
    <w:rsid w:val="003B2D24"/>
    <w:rsid w:val="003D729F"/>
    <w:rsid w:val="00411FE0"/>
    <w:rsid w:val="00497FA1"/>
    <w:rsid w:val="004A4BE4"/>
    <w:rsid w:val="004D695A"/>
    <w:rsid w:val="004E2A9B"/>
    <w:rsid w:val="004F567F"/>
    <w:rsid w:val="004F614A"/>
    <w:rsid w:val="004F71E4"/>
    <w:rsid w:val="00511F22"/>
    <w:rsid w:val="00520FA6"/>
    <w:rsid w:val="005531F4"/>
    <w:rsid w:val="005B42B8"/>
    <w:rsid w:val="005D06BF"/>
    <w:rsid w:val="005F382B"/>
    <w:rsid w:val="00622DE7"/>
    <w:rsid w:val="006375E2"/>
    <w:rsid w:val="00642C15"/>
    <w:rsid w:val="00650790"/>
    <w:rsid w:val="00676679"/>
    <w:rsid w:val="0068493E"/>
    <w:rsid w:val="00697B11"/>
    <w:rsid w:val="006C231F"/>
    <w:rsid w:val="006F7934"/>
    <w:rsid w:val="007031F1"/>
    <w:rsid w:val="00712CE3"/>
    <w:rsid w:val="00746A8F"/>
    <w:rsid w:val="00764980"/>
    <w:rsid w:val="0078041D"/>
    <w:rsid w:val="007972D9"/>
    <w:rsid w:val="007A0B20"/>
    <w:rsid w:val="007E31D4"/>
    <w:rsid w:val="00807419"/>
    <w:rsid w:val="00836120"/>
    <w:rsid w:val="00864196"/>
    <w:rsid w:val="008C230E"/>
    <w:rsid w:val="008C777A"/>
    <w:rsid w:val="009057BD"/>
    <w:rsid w:val="00927DA6"/>
    <w:rsid w:val="00927F66"/>
    <w:rsid w:val="009536BB"/>
    <w:rsid w:val="009828D9"/>
    <w:rsid w:val="009978E3"/>
    <w:rsid w:val="009B22E3"/>
    <w:rsid w:val="009B730B"/>
    <w:rsid w:val="009C6984"/>
    <w:rsid w:val="00A002FC"/>
    <w:rsid w:val="00A01F92"/>
    <w:rsid w:val="00A058A7"/>
    <w:rsid w:val="00A2217E"/>
    <w:rsid w:val="00A571C5"/>
    <w:rsid w:val="00A74C97"/>
    <w:rsid w:val="00AA09CA"/>
    <w:rsid w:val="00AA2288"/>
    <w:rsid w:val="00AA3E6F"/>
    <w:rsid w:val="00AD2083"/>
    <w:rsid w:val="00AE0DC1"/>
    <w:rsid w:val="00B015D3"/>
    <w:rsid w:val="00B02D54"/>
    <w:rsid w:val="00B156D3"/>
    <w:rsid w:val="00B26ACF"/>
    <w:rsid w:val="00B279A0"/>
    <w:rsid w:val="00B30D20"/>
    <w:rsid w:val="00B576F2"/>
    <w:rsid w:val="00B66641"/>
    <w:rsid w:val="00B9161F"/>
    <w:rsid w:val="00B959DF"/>
    <w:rsid w:val="00BA0B19"/>
    <w:rsid w:val="00BA7838"/>
    <w:rsid w:val="00BD0F51"/>
    <w:rsid w:val="00BE2BCD"/>
    <w:rsid w:val="00C05079"/>
    <w:rsid w:val="00C07088"/>
    <w:rsid w:val="00C222A6"/>
    <w:rsid w:val="00C37EA0"/>
    <w:rsid w:val="00C51553"/>
    <w:rsid w:val="00C7419C"/>
    <w:rsid w:val="00C84EED"/>
    <w:rsid w:val="00C9472D"/>
    <w:rsid w:val="00CA19ED"/>
    <w:rsid w:val="00CE5B1C"/>
    <w:rsid w:val="00D07F0E"/>
    <w:rsid w:val="00D10215"/>
    <w:rsid w:val="00D33C3F"/>
    <w:rsid w:val="00D63B7E"/>
    <w:rsid w:val="00D72E73"/>
    <w:rsid w:val="00D83C70"/>
    <w:rsid w:val="00DC46CC"/>
    <w:rsid w:val="00DF4698"/>
    <w:rsid w:val="00E07933"/>
    <w:rsid w:val="00E13BE5"/>
    <w:rsid w:val="00E22ED4"/>
    <w:rsid w:val="00E47740"/>
    <w:rsid w:val="00E61F6D"/>
    <w:rsid w:val="00E82AB5"/>
    <w:rsid w:val="00EE4D8E"/>
    <w:rsid w:val="00F04D36"/>
    <w:rsid w:val="00F1064A"/>
    <w:rsid w:val="00F42640"/>
    <w:rsid w:val="00F70B8A"/>
    <w:rsid w:val="00F90E47"/>
    <w:rsid w:val="00F970B2"/>
    <w:rsid w:val="00FB0D25"/>
    <w:rsid w:val="00FD30C2"/>
    <w:rsid w:val="00FE04DB"/>
    <w:rsid w:val="00FE1111"/>
    <w:rsid w:val="00FF7065"/>
    <w:rsid w:val="17987BE2"/>
    <w:rsid w:val="45AE5891"/>
    <w:rsid w:val="585D75C9"/>
    <w:rsid w:val="68CA3DE0"/>
    <w:rsid w:val="7EE4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4CDEB-DB7A-4AD0-AF69-7D0DF4721B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928</Words>
  <Characters>971</Characters>
  <Lines>7</Lines>
  <Paragraphs>2</Paragraphs>
  <TotalTime>8</TotalTime>
  <ScaleCrop>false</ScaleCrop>
  <LinksUpToDate>false</LinksUpToDate>
  <CharactersWithSpaces>1054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2023-12-28T01:16:00Z</dcterms:created>
  <dc:creator>Dell</dc:creator>
  <cp:lastModifiedBy>hdu</cp:lastModifiedBy>
  <cp:lastPrinted>2023-12-28T06:45:00Z</cp:lastPrinted>
  <dcterms:modified xsi:type="dcterms:W3CDTF">2025-01-08T07:16:06Z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eyJoZGlkIjoiMzI1ODg5MzQyOGQ4ZDE5MGViNGRlZDk0ODk0NzE1NDgifQ==</vt:lpwstr>
  </property>
  <property fmtid="{D5CDD505-2E9C-101B-9397-08002B2CF9AE}" pid="3" name="KSOProductBuildVer">
    <vt:lpwstr>2052-12.1.0.19770</vt:lpwstr>
  </property>
  <property fmtid="{D5CDD505-2E9C-101B-9397-08002B2CF9AE}" pid="4" name="ICV">
    <vt:lpwstr>4722274F3A0C456A901A7AF3E56B4999_12</vt:lpwstr>
  </property>
</Properties>
</file>