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jc w:val="center"/>
        <w:rPr>
          <w:rFonts w:eastAsia="黑体"/>
          <w:b/>
          <w:kern w:val="0"/>
          <w:sz w:val="30"/>
          <w:szCs w:val="30"/>
        </w:rPr>
      </w:pPr>
      <w:r>
        <w:rPr>
          <w:rFonts w:hint="eastAsia" w:eastAsia="黑体"/>
          <w:b/>
          <w:kern w:val="0"/>
          <w:sz w:val="30"/>
          <w:szCs w:val="30"/>
        </w:rPr>
        <w:t>会计</w:t>
      </w:r>
      <w:r>
        <w:rPr>
          <w:rFonts w:eastAsia="黑体"/>
          <w:b/>
          <w:kern w:val="0"/>
          <w:sz w:val="30"/>
          <w:szCs w:val="30"/>
        </w:rPr>
        <w:t>学院关于推荐20</w:t>
      </w:r>
      <w:r>
        <w:rPr>
          <w:rFonts w:hint="eastAsia" w:eastAsia="黑体"/>
          <w:b/>
          <w:kern w:val="0"/>
          <w:sz w:val="30"/>
          <w:szCs w:val="30"/>
        </w:rPr>
        <w:t>2</w:t>
      </w:r>
      <w:r>
        <w:rPr>
          <w:rFonts w:hint="eastAsia" w:eastAsia="黑体"/>
          <w:b/>
          <w:kern w:val="0"/>
          <w:sz w:val="30"/>
          <w:szCs w:val="30"/>
          <w:lang w:val="en-US" w:eastAsia="zh-CN"/>
        </w:rPr>
        <w:t>2</w:t>
      </w:r>
      <w:r>
        <w:rPr>
          <w:rFonts w:eastAsia="黑体"/>
          <w:b/>
          <w:kern w:val="0"/>
          <w:sz w:val="30"/>
          <w:szCs w:val="30"/>
        </w:rPr>
        <w:t>届优秀本科毕业生</w:t>
      </w:r>
    </w:p>
    <w:p>
      <w:pPr>
        <w:snapToGrid w:val="0"/>
        <w:spacing w:line="312" w:lineRule="auto"/>
        <w:jc w:val="center"/>
        <w:rPr>
          <w:rFonts w:eastAsia="黑体"/>
          <w:b/>
          <w:kern w:val="0"/>
          <w:sz w:val="30"/>
          <w:szCs w:val="30"/>
        </w:rPr>
      </w:pPr>
      <w:r>
        <w:rPr>
          <w:rFonts w:eastAsia="黑体"/>
          <w:b/>
          <w:kern w:val="0"/>
          <w:sz w:val="30"/>
          <w:szCs w:val="30"/>
        </w:rPr>
        <w:t>免试攻读研究生工作实施细则</w:t>
      </w:r>
    </w:p>
    <w:p>
      <w:pPr>
        <w:snapToGrid w:val="0"/>
        <w:spacing w:line="312" w:lineRule="auto"/>
        <w:jc w:val="center"/>
        <w:rPr>
          <w:rFonts w:eastAsia="黑体"/>
          <w:b/>
          <w:kern w:val="0"/>
          <w:sz w:val="28"/>
          <w:szCs w:val="28"/>
        </w:rPr>
      </w:pPr>
    </w:p>
    <w:p>
      <w:pPr>
        <w:snapToGrid w:val="0"/>
        <w:spacing w:line="312" w:lineRule="auto"/>
        <w:ind w:firstLine="480" w:firstLineChars="200"/>
        <w:rPr>
          <w:rFonts w:eastAsiaTheme="minorEastAsia"/>
          <w:sz w:val="24"/>
        </w:rPr>
      </w:pPr>
      <w:r>
        <w:rPr>
          <w:rFonts w:eastAsiaTheme="minorEastAsia"/>
          <w:sz w:val="24"/>
          <w:shd w:val="clear" w:color="auto" w:fill="FFFFFF"/>
        </w:rPr>
        <w:t>为了做好我</w:t>
      </w:r>
      <w:r>
        <w:rPr>
          <w:rFonts w:hint="eastAsia" w:eastAsiaTheme="minorEastAsia"/>
          <w:sz w:val="24"/>
          <w:shd w:val="clear" w:color="auto" w:fill="FFFFFF"/>
        </w:rPr>
        <w:t>院</w:t>
      </w:r>
      <w:r>
        <w:rPr>
          <w:rFonts w:eastAsiaTheme="minorEastAsia"/>
          <w:sz w:val="24"/>
          <w:shd w:val="clear" w:color="auto" w:fill="FFFFFF"/>
        </w:rPr>
        <w:t>推荐优秀应届本科毕业生免试攻读硕士学位研究生工作，保证人才遴选质量，鼓励学生勤奋学习、积极创新、全面发展，</w:t>
      </w:r>
      <w:r>
        <w:rPr>
          <w:rFonts w:eastAsiaTheme="minorEastAsia"/>
          <w:sz w:val="24"/>
        </w:rPr>
        <w:t>根据</w:t>
      </w:r>
      <w:r>
        <w:rPr>
          <w:rFonts w:hint="eastAsia" w:eastAsiaTheme="minorEastAsia"/>
          <w:sz w:val="24"/>
        </w:rPr>
        <w:t>《杭州电子科技大学推荐优秀应届本科毕业生免试攻读研究生实施办法》（杭电教[202</w:t>
      </w:r>
      <w:r>
        <w:rPr>
          <w:rFonts w:hint="eastAsia" w:eastAsiaTheme="minorEastAsia"/>
          <w:sz w:val="24"/>
          <w:lang w:val="en-US" w:eastAsia="zh-CN"/>
        </w:rPr>
        <w:t>1</w:t>
      </w:r>
      <w:r>
        <w:rPr>
          <w:rFonts w:hint="eastAsia" w:eastAsiaTheme="minorEastAsia"/>
          <w:sz w:val="24"/>
        </w:rPr>
        <w:t>]131号）和学校《</w:t>
      </w:r>
      <w:r>
        <w:rPr>
          <w:rFonts w:eastAsiaTheme="minorEastAsia"/>
          <w:sz w:val="24"/>
        </w:rPr>
        <w:t>关于202</w:t>
      </w:r>
      <w:r>
        <w:rPr>
          <w:rFonts w:hint="eastAsia" w:eastAsiaTheme="minorEastAsia"/>
          <w:sz w:val="24"/>
          <w:lang w:val="en-US" w:eastAsia="zh-CN"/>
        </w:rPr>
        <w:t>2</w:t>
      </w:r>
      <w:r>
        <w:rPr>
          <w:rFonts w:eastAsiaTheme="minorEastAsia"/>
          <w:sz w:val="24"/>
        </w:rPr>
        <w:t>年推荐优秀应届本科生免试攻读研究生和本硕博一体化培养遴选工作的通知</w:t>
      </w:r>
      <w:r>
        <w:rPr>
          <w:rFonts w:hint="eastAsia" w:eastAsiaTheme="minorEastAsia"/>
          <w:sz w:val="24"/>
        </w:rPr>
        <w:t>》的</w:t>
      </w:r>
      <w:r>
        <w:rPr>
          <w:rFonts w:eastAsiaTheme="minorEastAsia"/>
          <w:sz w:val="24"/>
        </w:rPr>
        <w:t>文件精神，结合我院实际，特制定本</w:t>
      </w:r>
      <w:r>
        <w:rPr>
          <w:rFonts w:hint="eastAsia" w:eastAsiaTheme="minorEastAsia"/>
          <w:sz w:val="24"/>
        </w:rPr>
        <w:t>实施细则</w:t>
      </w:r>
      <w:r>
        <w:rPr>
          <w:rFonts w:eastAsiaTheme="minorEastAsia"/>
          <w:sz w:val="24"/>
        </w:rPr>
        <w:t>。</w:t>
      </w:r>
    </w:p>
    <w:p>
      <w:pPr>
        <w:snapToGrid w:val="0"/>
        <w:spacing w:line="312" w:lineRule="auto"/>
        <w:ind w:firstLine="482" w:firstLineChars="200"/>
        <w:outlineLvl w:val="0"/>
        <w:rPr>
          <w:rFonts w:eastAsiaTheme="minorEastAsia"/>
          <w:b/>
          <w:kern w:val="0"/>
          <w:sz w:val="24"/>
        </w:rPr>
      </w:pPr>
      <w:r>
        <w:rPr>
          <w:rFonts w:eastAsiaTheme="minorEastAsia"/>
          <w:b/>
          <w:kern w:val="0"/>
          <w:sz w:val="24"/>
        </w:rPr>
        <w:t>一、推荐原则</w:t>
      </w:r>
    </w:p>
    <w:p>
      <w:pPr>
        <w:snapToGrid w:val="0"/>
        <w:spacing w:line="312" w:lineRule="auto"/>
        <w:ind w:firstLine="480" w:firstLineChars="200"/>
        <w:rPr>
          <w:rFonts w:eastAsiaTheme="minorEastAsia"/>
          <w:sz w:val="24"/>
        </w:rPr>
      </w:pPr>
      <w:r>
        <w:rPr>
          <w:rFonts w:hint="eastAsia" w:eastAsiaTheme="minorEastAsia"/>
          <w:sz w:val="24"/>
        </w:rPr>
        <w:t>以人才选拔质量为核心，坚持公平、公正、公开和德智体美劳全面考察、综合评价、择优选拔的原则，在对学生的学习及科研能力进行综合测评的基础上，强化对学生思想品德、科研创新潜质和专业能力倾向的考核。</w:t>
      </w:r>
    </w:p>
    <w:p>
      <w:pPr>
        <w:snapToGrid w:val="0"/>
        <w:spacing w:line="312" w:lineRule="auto"/>
        <w:ind w:firstLine="482" w:firstLineChars="200"/>
        <w:outlineLvl w:val="0"/>
        <w:rPr>
          <w:rFonts w:eastAsiaTheme="minorEastAsia"/>
          <w:b/>
          <w:kern w:val="0"/>
          <w:sz w:val="24"/>
        </w:rPr>
      </w:pPr>
      <w:r>
        <w:rPr>
          <w:rFonts w:eastAsiaTheme="minorEastAsia"/>
          <w:b/>
          <w:kern w:val="0"/>
          <w:sz w:val="24"/>
        </w:rPr>
        <w:t>二、组织机构</w:t>
      </w:r>
    </w:p>
    <w:p>
      <w:pPr>
        <w:snapToGrid w:val="0"/>
        <w:spacing w:line="312" w:lineRule="auto"/>
        <w:ind w:firstLine="480" w:firstLineChars="200"/>
        <w:rPr>
          <w:rFonts w:eastAsiaTheme="minorEastAsia"/>
          <w:kern w:val="0"/>
          <w:sz w:val="24"/>
        </w:rPr>
      </w:pPr>
      <w:r>
        <w:rPr>
          <w:rFonts w:hint="eastAsia" w:eastAsiaTheme="minorEastAsia"/>
          <w:kern w:val="0"/>
          <w:sz w:val="24"/>
        </w:rPr>
        <w:t>会计</w:t>
      </w:r>
      <w:r>
        <w:rPr>
          <w:rFonts w:eastAsiaTheme="minorEastAsia"/>
          <w:kern w:val="0"/>
          <w:sz w:val="24"/>
        </w:rPr>
        <w:t>学院推免生遴选工作领导小组</w:t>
      </w:r>
      <w:r>
        <w:rPr>
          <w:rFonts w:hint="eastAsia" w:eastAsiaTheme="minorEastAsia"/>
          <w:kern w:val="0"/>
          <w:sz w:val="24"/>
        </w:rPr>
        <w:t>成员如下：</w:t>
      </w:r>
    </w:p>
    <w:p>
      <w:pPr>
        <w:snapToGrid w:val="0"/>
        <w:spacing w:line="312" w:lineRule="auto"/>
        <w:ind w:firstLine="480" w:firstLineChars="200"/>
        <w:rPr>
          <w:rFonts w:eastAsiaTheme="minorEastAsia"/>
          <w:kern w:val="0"/>
          <w:sz w:val="24"/>
        </w:rPr>
      </w:pPr>
      <w:r>
        <w:rPr>
          <w:rFonts w:hint="eastAsia" w:eastAsiaTheme="minorEastAsia"/>
          <w:kern w:val="0"/>
          <w:sz w:val="24"/>
        </w:rPr>
        <w:t>组长：肖作平</w:t>
      </w:r>
    </w:p>
    <w:p>
      <w:pPr>
        <w:snapToGrid w:val="0"/>
        <w:spacing w:line="312" w:lineRule="auto"/>
        <w:ind w:firstLine="480" w:firstLineChars="200"/>
        <w:rPr>
          <w:rFonts w:eastAsiaTheme="minorEastAsia"/>
          <w:kern w:val="0"/>
          <w:sz w:val="24"/>
        </w:rPr>
      </w:pPr>
      <w:r>
        <w:rPr>
          <w:rFonts w:hint="eastAsia" w:eastAsiaTheme="minorEastAsia"/>
          <w:kern w:val="0"/>
          <w:sz w:val="24"/>
        </w:rPr>
        <w:t>组员：徐兵、贾鹏飞、贾勇、苏忠秦、易颜新、谢会丽、张欣哲、叶爱娟</w:t>
      </w:r>
    </w:p>
    <w:p>
      <w:pPr>
        <w:snapToGrid w:val="0"/>
        <w:spacing w:line="312" w:lineRule="auto"/>
        <w:ind w:firstLine="482" w:firstLineChars="200"/>
        <w:outlineLvl w:val="0"/>
        <w:rPr>
          <w:rFonts w:eastAsiaTheme="minorEastAsia"/>
          <w:b/>
          <w:kern w:val="0"/>
          <w:sz w:val="24"/>
        </w:rPr>
      </w:pPr>
      <w:r>
        <w:rPr>
          <w:rFonts w:eastAsiaTheme="minorEastAsia"/>
          <w:b/>
          <w:kern w:val="0"/>
          <w:sz w:val="24"/>
        </w:rPr>
        <w:t>三、推荐类别</w:t>
      </w:r>
    </w:p>
    <w:p>
      <w:pPr>
        <w:snapToGrid w:val="0"/>
        <w:spacing w:line="312" w:lineRule="auto"/>
        <w:ind w:firstLine="480" w:firstLineChars="200"/>
        <w:rPr>
          <w:rFonts w:eastAsiaTheme="minorEastAsia"/>
          <w:kern w:val="0"/>
          <w:sz w:val="24"/>
        </w:rPr>
      </w:pPr>
      <w:r>
        <w:rPr>
          <w:rFonts w:hint="eastAsia" w:eastAsiaTheme="minorEastAsia"/>
          <w:kern w:val="0"/>
          <w:sz w:val="24"/>
        </w:rPr>
        <w:t>（一）普通推免生；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（二）有特殊学术专长的推免生；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（三）“研究生支教团推免专项计划”推免生。</w:t>
      </w:r>
    </w:p>
    <w:p>
      <w:pPr>
        <w:snapToGrid w:val="0"/>
        <w:spacing w:line="312" w:lineRule="auto"/>
        <w:ind w:firstLine="480" w:firstLineChars="200"/>
        <w:rPr>
          <w:rFonts w:hint="eastAsia" w:eastAsiaTheme="minorEastAsia"/>
          <w:b/>
          <w:kern w:val="0"/>
          <w:sz w:val="24"/>
        </w:rPr>
      </w:pPr>
      <w:r>
        <w:rPr>
          <w:rFonts w:hint="eastAsia" w:eastAsiaTheme="minorEastAsia"/>
          <w:kern w:val="0"/>
          <w:sz w:val="24"/>
        </w:rPr>
        <w:t>符合推荐条件的学生可以在以上推免生类别中选择一类提出申请。</w:t>
      </w:r>
    </w:p>
    <w:p>
      <w:pPr>
        <w:snapToGrid w:val="0"/>
        <w:spacing w:line="312" w:lineRule="auto"/>
        <w:ind w:firstLine="482" w:firstLineChars="200"/>
        <w:outlineLvl w:val="0"/>
        <w:rPr>
          <w:rFonts w:eastAsiaTheme="minorEastAsia"/>
          <w:b/>
          <w:kern w:val="0"/>
          <w:sz w:val="24"/>
        </w:rPr>
      </w:pPr>
      <w:r>
        <w:rPr>
          <w:rFonts w:eastAsiaTheme="minorEastAsia"/>
          <w:b/>
          <w:kern w:val="0"/>
          <w:sz w:val="24"/>
        </w:rPr>
        <w:t>四、推荐名额分配原则</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学校推免生遴选工作领导小组根据教育部下达的推免生名额及最新文件精神，综合考虑各学院应届本科毕业生人数、考研升学率、学科专业建设和上一年度推免工作实施情况等因素，确定各学院推免生推荐名额分配数。推免名额增量重点向国家战略发展急需学科及学校优势重点学科倾斜。其中，本校本硕博一体化人才培养专项推免生名额不低于总名额的20%，由研究生院制订相关实施办法。</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“支教团”推免生名额为团中央单列专项计划，由校团委牵头根据上级下达的专项计划名额，在全校范围内开展推荐遴选工作。</w:t>
      </w:r>
    </w:p>
    <w:p>
      <w:pPr>
        <w:snapToGrid w:val="0"/>
        <w:spacing w:line="312" w:lineRule="auto"/>
        <w:ind w:firstLine="482" w:firstLineChars="200"/>
        <w:outlineLvl w:val="0"/>
        <w:rPr>
          <w:rFonts w:eastAsiaTheme="minorEastAsia"/>
          <w:b/>
          <w:kern w:val="0"/>
          <w:sz w:val="24"/>
        </w:rPr>
      </w:pPr>
      <w:r>
        <w:rPr>
          <w:rFonts w:eastAsiaTheme="minorEastAsia"/>
          <w:b/>
          <w:kern w:val="0"/>
          <w:sz w:val="24"/>
        </w:rPr>
        <w:t>五、推荐条件</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（一）基本条件</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1.必须是纳入国家普通本科招生计划录取的本校应届本科毕业生（不含专升本、第二学士学位、独立学院学生）。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2.具有高尚的爱国主义情操和集体主义精神，社会主义信念坚定，社会责任感强，遵纪守法，积极向上，身心健康。</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3.勤奋学习，刻苦钻研，成绩优秀。学术研究兴趣浓厚，有较强的创新意识、创新能力和科研潜质。</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4.诚实守信，学风端正，品行表现优良，无任何考试作弊和剽窃他人学术成果记录，无任何违法违纪受处分记录。</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5.毕业时必须获得学士学位。</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（二）资格条件</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推免生除符合基本条件外，还应符合相应类型的资格条件。</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1.普通推免生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普通专业学生的大学英语四级成绩在500分及以上，或六级成绩在426分及以上；英语专业学生的专业英语四级考试成绩须为良好及以上；艺术类专业学生的大学英语四级成绩在426分及以上；其他语种参照相对等的水平要求。</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（2）截至第六学期，须完成本专业培养方案中课程性质为必修的课内课程且无不及格记录，同时前六学期所修全部课内课程平均学分绩点注1位列专业前20%。</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注1：本文所指的平均学分绩点均按学校本科学生学籍管理规定中的要求计算。</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2.有特殊学术专长的推免生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（1）普通专业学生的大学英语四级成绩在426分及以上；英语专业学生的专业英语四级考试成绩须合格及以上；其他语种参照相对等的水平要求。</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（2）截至第六学期，须完成本专业培养方案中课程性质为必修的课内课程且无不及格记录，同时前六学期所修全部课内课程平均学分绩点位列专业前50%。</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（3）须获得以下标志性高水平创新成果注2之一：</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学校认定且代表学校参加的学科竞赛获奖注3（以团队获奖的，排序前三名的可以申请）；或以第一作者获得国家发明专利或国防发明专利授权；或以第一作者在学校认定的一级期刊及以上级别学术期刊注4发表学术论文；或以第一作者在学校认定的出版社注4出版学术专著；或为其他经推免生遴选工作领导小组审定的高水平创新成果的第一获得者。</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（4）须经三名本校本学科教授联名推荐，学生申请材料和教授推荐信须公示（公示期至少3天）。</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注2：相关成果须与申请专业相关，获得成果时间截止当年8月31日（含）之前，学科竞赛应有获奖证书或主办单位正式发文，论文为公开发表，专著为正式出版，专利授权须有授权书。</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注3：学校认定学科竞赛及获奖等级：在全国大学生数学建模竞赛、全国大学生电子设计竞赛及其专题邀请赛、全国大学生智能汽车竞赛、全国大学生机械创新设计竞赛、全国大学生电子商务“创新、创意及创业”挑战赛、中国大学生服务外包创新创业大赛、全国大学生英语演讲大赛、全国大学生广告艺术大赛中获得一等奖及以上；“挑战杯”全国大学生课外学术科技作品竞赛中获得二等奖及以上；在“挑战杯”全国大学生创业计划竞赛、中国“互联网+”大学生创新创业大赛中获得银奖及以上；在国际大学生程序设计竞赛亚洲区域赛获得金牌及以上等，由教务处负责认定。</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注4：学校认定的期刊和出版社以及级别，以学校科学技术研究院最新规定为准。</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3.“支教团”专项推免生</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普通专业学生的大学英语四级成绩在500分及以上，或六级成绩在426分及以上；英语专业学生的专业英语四级考试成绩须良好及以上；艺术类专业学生的大学英语四级成绩在426分及以上；其他语种参照相对等的水平要求。</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（2）截至第六学期，须完成本专业培养方案中课程性质为必修的课内课程且无不及格记录，同时前六学期所修全部课内课程平均学分绩点位列专业前50%。</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（3）身体健康，能适应当地艰苦环境，具有一定的教育教学能力，能胜任支教工作。</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（4）在校期间具有学生干部经历，且取得优秀的工作成绩；同时热心公益，拥有丰富的社会实践和志愿者服务经历。在校期间有参军入伍服兵役或参加国际组织实习经历的可优先考虑。</w:t>
      </w:r>
    </w:p>
    <w:p>
      <w:pPr>
        <w:snapToGrid w:val="0"/>
        <w:spacing w:line="312" w:lineRule="auto"/>
        <w:ind w:firstLine="482" w:firstLineChars="200"/>
        <w:outlineLvl w:val="0"/>
        <w:rPr>
          <w:rFonts w:eastAsiaTheme="minorEastAsia"/>
          <w:b/>
          <w:kern w:val="0"/>
          <w:sz w:val="24"/>
        </w:rPr>
      </w:pPr>
      <w:r>
        <w:rPr>
          <w:rFonts w:hint="eastAsia" w:eastAsiaTheme="minorEastAsia"/>
          <w:b/>
          <w:kern w:val="0"/>
          <w:sz w:val="24"/>
        </w:rPr>
        <w:t>六、推荐依据与标准</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（一）普通推免生和特殊学术专长生的推荐依据与标准</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在符合推荐条件的基础上，综合评分的排名是推荐免试攻读研究生的重要依据，综合评分计算办法详见附件。</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在符合推荐条件的基础上，综合评分评定必须坚持德智体美劳全面衡量，把学生思想品德鉴定作为推免生遴选首要依据，思想品德鉴定不合格者不予推荐。</w:t>
      </w:r>
    </w:p>
    <w:p>
      <w:pPr>
        <w:snapToGrid w:val="0"/>
        <w:spacing w:line="312" w:lineRule="auto"/>
        <w:ind w:left="479" w:leftChars="228" w:firstLine="0" w:firstLineChars="0"/>
        <w:outlineLvl w:val="0"/>
        <w:rPr>
          <w:rFonts w:eastAsiaTheme="minorEastAsia"/>
          <w:b/>
          <w:kern w:val="0"/>
          <w:sz w:val="24"/>
        </w:rPr>
      </w:pPr>
      <w:r>
        <w:rPr>
          <w:rFonts w:hint="eastAsia" w:eastAsiaTheme="minorEastAsia"/>
          <w:kern w:val="0"/>
          <w:sz w:val="24"/>
        </w:rPr>
        <w:t>（二）“研究生支教团推免专项计划”的推荐依据与标准由校团委负责制定。</w:t>
      </w:r>
      <w:r>
        <w:rPr>
          <w:rFonts w:hint="eastAsia" w:eastAsiaTheme="minorEastAsia"/>
          <w:b/>
          <w:kern w:val="0"/>
          <w:sz w:val="24"/>
        </w:rPr>
        <w:t>七</w:t>
      </w:r>
      <w:r>
        <w:rPr>
          <w:rFonts w:eastAsiaTheme="minorEastAsia"/>
          <w:b/>
          <w:kern w:val="0"/>
          <w:sz w:val="24"/>
        </w:rPr>
        <w:t>、推荐程序</w:t>
      </w:r>
    </w:p>
    <w:p>
      <w:pPr>
        <w:snapToGrid w:val="0"/>
        <w:spacing w:line="312" w:lineRule="auto"/>
        <w:ind w:firstLine="480" w:firstLineChars="200"/>
        <w:rPr>
          <w:rFonts w:hint="eastAsia" w:eastAsiaTheme="minorEastAsia"/>
          <w:kern w:val="0"/>
          <w:sz w:val="24"/>
        </w:rPr>
      </w:pPr>
      <w:r>
        <w:rPr>
          <w:rFonts w:eastAsiaTheme="minorEastAsia"/>
          <w:kern w:val="0"/>
          <w:sz w:val="24"/>
        </w:rPr>
        <w:t>（一）学院按照学校部署，制定本学院具体实施细则，发布推免遴选通知和推荐名额。</w:t>
      </w:r>
      <w:r>
        <w:rPr>
          <w:rFonts w:hint="eastAsia" w:eastAsiaTheme="minorEastAsia"/>
          <w:kern w:val="0"/>
          <w:sz w:val="24"/>
        </w:rPr>
        <w:t>对特殊学术专长生按不超过学院推荐总名额40%的比例（四舍五入取整数），予以优先推荐。</w:t>
      </w:r>
    </w:p>
    <w:p>
      <w:pPr>
        <w:snapToGrid w:val="0"/>
        <w:spacing w:line="312" w:lineRule="auto"/>
        <w:ind w:firstLine="480" w:firstLineChars="200"/>
        <w:rPr>
          <w:rFonts w:eastAsiaTheme="minorEastAsia"/>
          <w:kern w:val="0"/>
          <w:sz w:val="24"/>
        </w:rPr>
      </w:pPr>
      <w:r>
        <w:rPr>
          <w:rFonts w:eastAsiaTheme="minorEastAsia"/>
          <w:kern w:val="0"/>
          <w:sz w:val="24"/>
        </w:rPr>
        <w:t>（二）</w:t>
      </w:r>
      <w:r>
        <w:rPr>
          <w:rFonts w:hint="eastAsia" w:eastAsiaTheme="minorEastAsia"/>
          <w:kern w:val="0"/>
          <w:sz w:val="24"/>
        </w:rPr>
        <w:t>符合申请条件的学生，请填写《2022年推免生申请表》（见附件3</w:t>
      </w:r>
      <w:r>
        <w:rPr>
          <w:rFonts w:hint="eastAsia" w:eastAsiaTheme="minorEastAsia"/>
          <w:kern w:val="0"/>
          <w:sz w:val="24"/>
          <w:lang w:eastAsia="zh-CN"/>
        </w:rPr>
        <w:t>，</w:t>
      </w:r>
      <w:r>
        <w:rPr>
          <w:rFonts w:hint="eastAsia" w:eastAsiaTheme="minorEastAsia"/>
          <w:kern w:val="0"/>
          <w:sz w:val="24"/>
          <w:lang w:val="en-US" w:eastAsia="zh-CN"/>
        </w:rPr>
        <w:t>以下简称“申请表”</w:t>
      </w:r>
      <w:r>
        <w:rPr>
          <w:rFonts w:hint="eastAsia" w:eastAsiaTheme="minorEastAsia"/>
          <w:kern w:val="0"/>
          <w:sz w:val="24"/>
        </w:rPr>
        <w:t>）、《2022年推免生-诚信承诺书》（见附件3）、《2022年推免生思想政治品德考核表》（见附件3）、《会计学院研究生推免综合成绩评审表》（附件2），</w:t>
      </w:r>
      <w:r>
        <w:rPr>
          <w:rFonts w:eastAsiaTheme="minorEastAsia"/>
          <w:kern w:val="0"/>
          <w:sz w:val="24"/>
        </w:rPr>
        <w:t>并提交相关证明材料</w:t>
      </w:r>
      <w:r>
        <w:rPr>
          <w:rFonts w:hint="eastAsia" w:eastAsiaTheme="minorEastAsia"/>
          <w:kern w:val="0"/>
          <w:sz w:val="24"/>
        </w:rPr>
        <w:t>，具体</w:t>
      </w:r>
      <w:r>
        <w:rPr>
          <w:rFonts w:eastAsiaTheme="minorEastAsia"/>
          <w:kern w:val="0"/>
          <w:sz w:val="24"/>
        </w:rPr>
        <w:t>要求</w:t>
      </w:r>
      <w:r>
        <w:rPr>
          <w:rFonts w:hint="eastAsia" w:eastAsiaTheme="minorEastAsia"/>
          <w:kern w:val="0"/>
          <w:sz w:val="24"/>
        </w:rPr>
        <w:t>如下</w:t>
      </w:r>
      <w:r>
        <w:rPr>
          <w:rFonts w:eastAsiaTheme="minorEastAsia"/>
          <w:kern w:val="0"/>
          <w:sz w:val="24"/>
        </w:rPr>
        <w:t>：</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1.学生所填信息和提供材料须准确真实，申请时应承诺在获得学校推免资格后不擅自放弃，如擅自放弃造成推免名额浪费者，将作为非诚信行为记入个人档案；</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2.每位学生按推荐类别限报一项，符合多个类别推荐条件的学生须慎重选择，一旦提交不得更改。</w:t>
      </w:r>
    </w:p>
    <w:p>
      <w:pPr>
        <w:snapToGrid w:val="0"/>
        <w:spacing w:line="312" w:lineRule="auto"/>
        <w:ind w:firstLine="480" w:firstLineChars="200"/>
        <w:rPr>
          <w:rFonts w:eastAsiaTheme="minorEastAsia"/>
          <w:kern w:val="0"/>
          <w:sz w:val="24"/>
        </w:rPr>
      </w:pPr>
      <w:r>
        <w:rPr>
          <w:rFonts w:hint="eastAsia" w:eastAsiaTheme="minorEastAsia"/>
          <w:kern w:val="0"/>
          <w:sz w:val="24"/>
        </w:rPr>
        <w:t>3.</w:t>
      </w:r>
      <w:r>
        <w:rPr>
          <w:rFonts w:eastAsiaTheme="minorEastAsia"/>
          <w:kern w:val="0"/>
          <w:sz w:val="24"/>
        </w:rPr>
        <w:t>学生所填信息和提供材料须准确真实，一经发现材料不实，取消资格并按有关规定处理。申请时还应承诺保证在获得学校推免资格后不擅自放弃，如擅自放弃造成浪费推免名额者，将作为诚信记录记入个人档案。</w:t>
      </w:r>
    </w:p>
    <w:p>
      <w:pPr>
        <w:snapToGrid w:val="0"/>
        <w:spacing w:line="312" w:lineRule="auto"/>
        <w:ind w:firstLine="480" w:firstLineChars="200"/>
        <w:rPr>
          <w:rFonts w:eastAsiaTheme="minorEastAsia"/>
          <w:kern w:val="0"/>
          <w:sz w:val="24"/>
        </w:rPr>
      </w:pPr>
      <w:r>
        <w:rPr>
          <w:rFonts w:hint="eastAsia" w:eastAsiaTheme="minorEastAsia"/>
          <w:kern w:val="0"/>
          <w:sz w:val="24"/>
        </w:rPr>
        <w:t>4.</w:t>
      </w:r>
      <w:r>
        <w:rPr>
          <w:rFonts w:eastAsiaTheme="minorEastAsia"/>
          <w:kern w:val="0"/>
          <w:sz w:val="24"/>
        </w:rPr>
        <w:t>申请时学生的专业身份变化未满一学期者，向原所在学院提出申请。</w:t>
      </w:r>
    </w:p>
    <w:p>
      <w:pPr>
        <w:snapToGrid w:val="0"/>
        <w:spacing w:line="312" w:lineRule="auto"/>
        <w:ind w:firstLine="480" w:firstLineChars="200"/>
        <w:rPr>
          <w:rFonts w:eastAsiaTheme="minorEastAsia"/>
          <w:kern w:val="0"/>
          <w:sz w:val="24"/>
        </w:rPr>
      </w:pPr>
      <w:r>
        <w:rPr>
          <w:rFonts w:hint="eastAsia" w:eastAsiaTheme="minorEastAsia"/>
          <w:kern w:val="0"/>
          <w:sz w:val="24"/>
        </w:rPr>
        <w:t>（三）学院对各类别推免生申请材料和</w:t>
      </w:r>
      <w:r>
        <w:rPr>
          <w:rFonts w:eastAsiaTheme="minorEastAsia"/>
          <w:kern w:val="0"/>
          <w:sz w:val="24"/>
        </w:rPr>
        <w:t>基本条件进行审核</w:t>
      </w:r>
      <w:r>
        <w:rPr>
          <w:rFonts w:hint="eastAsia" w:eastAsiaTheme="minorEastAsia"/>
          <w:kern w:val="0"/>
          <w:sz w:val="24"/>
        </w:rPr>
        <w:t>，根据推荐名额，对</w:t>
      </w:r>
      <w:r>
        <w:rPr>
          <w:rFonts w:eastAsiaTheme="minorEastAsia"/>
          <w:kern w:val="0"/>
          <w:sz w:val="24"/>
        </w:rPr>
        <w:t>符合条件的学生</w:t>
      </w:r>
      <w:r>
        <w:rPr>
          <w:rFonts w:hint="eastAsia" w:eastAsiaTheme="minorEastAsia"/>
          <w:kern w:val="0"/>
          <w:sz w:val="24"/>
        </w:rPr>
        <w:t>依照综合评分从高到低予以分类推荐排序，同时按实际推荐名额1:0.5比例上报候补名单。</w:t>
      </w:r>
    </w:p>
    <w:p>
      <w:pPr>
        <w:snapToGrid w:val="0"/>
        <w:spacing w:line="312" w:lineRule="auto"/>
        <w:ind w:firstLine="480" w:firstLineChars="200"/>
        <w:rPr>
          <w:rFonts w:eastAsiaTheme="minorEastAsia"/>
          <w:kern w:val="0"/>
          <w:sz w:val="24"/>
        </w:rPr>
      </w:pPr>
      <w:r>
        <w:rPr>
          <w:rFonts w:hint="eastAsia" w:eastAsiaTheme="minorEastAsia"/>
          <w:kern w:val="0"/>
          <w:sz w:val="24"/>
        </w:rPr>
        <w:t>（四）学院把拟推荐名单及相关材料在学院网站公示（公示期</w:t>
      </w:r>
      <w:r>
        <w:rPr>
          <w:rFonts w:eastAsiaTheme="minorEastAsia"/>
          <w:kern w:val="0"/>
          <w:sz w:val="24"/>
        </w:rPr>
        <w:t>至少</w:t>
      </w:r>
      <w:r>
        <w:rPr>
          <w:rFonts w:hint="eastAsia" w:eastAsiaTheme="minorEastAsia"/>
          <w:kern w:val="0"/>
          <w:sz w:val="24"/>
        </w:rPr>
        <w:t>3</w:t>
      </w:r>
      <w:r>
        <w:rPr>
          <w:rFonts w:eastAsiaTheme="minorEastAsia"/>
          <w:kern w:val="0"/>
          <w:sz w:val="24"/>
        </w:rPr>
        <w:t>天</w:t>
      </w:r>
      <w:r>
        <w:rPr>
          <w:rFonts w:hint="eastAsia" w:eastAsiaTheme="minorEastAsia"/>
          <w:kern w:val="0"/>
          <w:sz w:val="24"/>
        </w:rPr>
        <w:t>）。公示期内如有异议，由学院负责解释和调查处理。公示结束后，学院填写《申请表》推荐意见和《拟推荐免试攻读研究生情况汇总表》（以下简称“汇总表”），并将相关材料报教务处审核。</w:t>
      </w:r>
    </w:p>
    <w:p>
      <w:pPr>
        <w:snapToGrid w:val="0"/>
        <w:spacing w:line="312" w:lineRule="auto"/>
        <w:ind w:firstLine="480" w:firstLineChars="200"/>
        <w:rPr>
          <w:rFonts w:eastAsiaTheme="minorEastAsia"/>
          <w:kern w:val="0"/>
          <w:sz w:val="24"/>
        </w:rPr>
      </w:pPr>
      <w:r>
        <w:rPr>
          <w:rFonts w:hint="eastAsia" w:eastAsiaTheme="minorEastAsia"/>
          <w:kern w:val="0"/>
          <w:sz w:val="24"/>
        </w:rPr>
        <w:t>（五）“支教团”专项推免生的推荐程序：学生填写申请表，并提交证明材料，经学院审核同意后交校团委，校团委会同研究生院、学生处、教务处、组织部等职能部门进行综合测评，根据推荐名额和综合评分从高到低予以推荐排序,同时按实际推荐名额1:0.5比例上报候补名单。校团委填写《申请表》推荐意见和《汇总表》，将拟推荐名单及相关材料在部门网站公示（公示期至少3天）。公示结束后，将相关材料报教务处审核。</w:t>
      </w:r>
    </w:p>
    <w:p>
      <w:pPr>
        <w:snapToGrid w:val="0"/>
        <w:spacing w:line="312" w:lineRule="auto"/>
        <w:ind w:firstLine="480" w:firstLineChars="200"/>
        <w:rPr>
          <w:rFonts w:hint="eastAsia" w:eastAsiaTheme="minorEastAsia"/>
          <w:kern w:val="0"/>
          <w:sz w:val="24"/>
        </w:rPr>
      </w:pPr>
      <w:r>
        <w:rPr>
          <w:rFonts w:hint="eastAsia" w:eastAsiaTheme="minorEastAsia"/>
          <w:kern w:val="0"/>
          <w:sz w:val="24"/>
        </w:rPr>
        <w:t>（六）各类别推荐名单经教务处审核后，提交学校推免生遴选工作领导小组审定，在全校范围内公示最终推荐名单。对有异议的学生，查明情况后向学校推免生遴选工作领导小组汇报，并公布调查处理结果。</w:t>
      </w:r>
    </w:p>
    <w:p>
      <w:pPr>
        <w:snapToGrid w:val="0"/>
        <w:spacing w:line="312" w:lineRule="auto"/>
        <w:ind w:firstLine="480" w:firstLineChars="200"/>
        <w:rPr>
          <w:rFonts w:eastAsiaTheme="minorEastAsia"/>
          <w:kern w:val="0"/>
          <w:sz w:val="24"/>
        </w:rPr>
      </w:pPr>
      <w:r>
        <w:rPr>
          <w:rFonts w:hint="eastAsia" w:eastAsiaTheme="minorEastAsia"/>
          <w:kern w:val="0"/>
          <w:sz w:val="24"/>
        </w:rPr>
        <w:t>（七）若学院推荐人数不足当年推荐名额，则由学校根据推荐名额分配原则统筹调配多余名额；因学生自愿放弃等原因造成推荐人数不足的，在时间允许情况下可在本学院候补名单中补足，如本学院不能补足的，则由学校统筹调配。</w:t>
      </w:r>
    </w:p>
    <w:p>
      <w:pPr>
        <w:snapToGrid w:val="0"/>
        <w:spacing w:line="312" w:lineRule="auto"/>
        <w:ind w:firstLine="480" w:firstLineChars="200"/>
        <w:rPr>
          <w:rFonts w:eastAsiaTheme="minorEastAsia"/>
          <w:kern w:val="0"/>
          <w:sz w:val="24"/>
        </w:rPr>
      </w:pPr>
      <w:r>
        <w:rPr>
          <w:rFonts w:hint="eastAsia" w:eastAsiaTheme="minorEastAsia"/>
          <w:kern w:val="0"/>
          <w:sz w:val="24"/>
        </w:rPr>
        <w:t>（八）公示结束无异议的学生，即取得推免生资格。</w:t>
      </w:r>
    </w:p>
    <w:p>
      <w:pPr>
        <w:snapToGrid w:val="0"/>
        <w:spacing w:line="312" w:lineRule="auto"/>
        <w:ind w:firstLine="480" w:firstLineChars="200"/>
        <w:rPr>
          <w:rFonts w:eastAsiaTheme="minorEastAsia"/>
          <w:kern w:val="0"/>
          <w:sz w:val="24"/>
        </w:rPr>
      </w:pPr>
      <w:r>
        <w:rPr>
          <w:rFonts w:hint="eastAsia" w:eastAsiaTheme="minorEastAsia"/>
          <w:kern w:val="0"/>
          <w:sz w:val="24"/>
        </w:rPr>
        <w:t>（九）推免生按教育部要求和招生单位有关规定须及时进行网上注册报名、参加复试及录取等工作。</w:t>
      </w:r>
    </w:p>
    <w:p>
      <w:pPr>
        <w:snapToGrid w:val="0"/>
        <w:spacing w:line="312" w:lineRule="auto"/>
        <w:ind w:firstLine="482" w:firstLineChars="200"/>
        <w:outlineLvl w:val="0"/>
        <w:rPr>
          <w:rFonts w:eastAsiaTheme="minorEastAsia"/>
          <w:b/>
          <w:kern w:val="0"/>
          <w:sz w:val="24"/>
        </w:rPr>
      </w:pPr>
      <w:r>
        <w:rPr>
          <w:rFonts w:hint="eastAsia" w:eastAsiaTheme="minorEastAsia"/>
          <w:b/>
          <w:kern w:val="0"/>
          <w:sz w:val="24"/>
        </w:rPr>
        <w:t>八</w:t>
      </w:r>
      <w:r>
        <w:rPr>
          <w:rFonts w:eastAsiaTheme="minorEastAsia"/>
          <w:b/>
          <w:kern w:val="0"/>
          <w:sz w:val="24"/>
        </w:rPr>
        <w:t>、学院开展推免工作要切实遵守推免政策，未按相关要求开展推免工作的，将严肃处理责任人，追究相关领导责任，并视情节轻重给予严肃处理。</w:t>
      </w:r>
    </w:p>
    <w:p>
      <w:pPr>
        <w:snapToGrid w:val="0"/>
        <w:spacing w:line="312" w:lineRule="auto"/>
        <w:ind w:firstLine="482" w:firstLineChars="200"/>
        <w:outlineLvl w:val="0"/>
        <w:rPr>
          <w:rFonts w:eastAsiaTheme="minorEastAsia"/>
          <w:b/>
          <w:kern w:val="0"/>
          <w:sz w:val="24"/>
        </w:rPr>
      </w:pPr>
      <w:r>
        <w:rPr>
          <w:rFonts w:hint="eastAsia" w:eastAsiaTheme="minorEastAsia"/>
          <w:b/>
          <w:kern w:val="0"/>
          <w:sz w:val="24"/>
        </w:rPr>
        <w:t>九</w:t>
      </w:r>
      <w:r>
        <w:rPr>
          <w:rFonts w:eastAsiaTheme="minorEastAsia"/>
          <w:b/>
          <w:kern w:val="0"/>
          <w:sz w:val="24"/>
        </w:rPr>
        <w:t>、本</w:t>
      </w:r>
      <w:r>
        <w:rPr>
          <w:rFonts w:hint="eastAsia" w:eastAsiaTheme="minorEastAsia"/>
          <w:b/>
          <w:kern w:val="0"/>
          <w:sz w:val="24"/>
        </w:rPr>
        <w:t>实施细则</w:t>
      </w:r>
      <w:r>
        <w:rPr>
          <w:rFonts w:eastAsiaTheme="minorEastAsia"/>
          <w:b/>
          <w:kern w:val="0"/>
          <w:sz w:val="24"/>
        </w:rPr>
        <w:t>由</w:t>
      </w:r>
      <w:r>
        <w:rPr>
          <w:rFonts w:hint="eastAsia" w:eastAsiaTheme="minorEastAsia"/>
          <w:b/>
          <w:kern w:val="0"/>
          <w:sz w:val="24"/>
        </w:rPr>
        <w:t>会计</w:t>
      </w:r>
      <w:r>
        <w:rPr>
          <w:rFonts w:eastAsiaTheme="minorEastAsia"/>
          <w:b/>
          <w:kern w:val="0"/>
          <w:sz w:val="24"/>
        </w:rPr>
        <w:t>学院负责解释。</w:t>
      </w:r>
    </w:p>
    <w:p>
      <w:pPr>
        <w:snapToGrid w:val="0"/>
        <w:spacing w:line="312" w:lineRule="auto"/>
        <w:ind w:firstLine="482" w:firstLineChars="200"/>
        <w:outlineLvl w:val="0"/>
        <w:rPr>
          <w:rFonts w:eastAsiaTheme="minorEastAsia"/>
          <w:b/>
          <w:kern w:val="0"/>
          <w:sz w:val="24"/>
        </w:rPr>
      </w:pPr>
      <w:r>
        <w:rPr>
          <w:rFonts w:hint="eastAsia" w:eastAsiaTheme="minorEastAsia"/>
          <w:b/>
          <w:kern w:val="0"/>
          <w:sz w:val="24"/>
        </w:rPr>
        <w:t>十</w:t>
      </w:r>
      <w:r>
        <w:rPr>
          <w:rFonts w:eastAsiaTheme="minorEastAsia"/>
          <w:b/>
          <w:kern w:val="0"/>
          <w:sz w:val="24"/>
        </w:rPr>
        <w:t>、本</w:t>
      </w:r>
      <w:r>
        <w:rPr>
          <w:rFonts w:hint="eastAsia" w:eastAsiaTheme="minorEastAsia"/>
          <w:b/>
          <w:kern w:val="0"/>
          <w:sz w:val="24"/>
        </w:rPr>
        <w:t>实施细则</w:t>
      </w:r>
      <w:r>
        <w:rPr>
          <w:rFonts w:eastAsiaTheme="minorEastAsia"/>
          <w:b/>
          <w:kern w:val="0"/>
          <w:sz w:val="24"/>
        </w:rPr>
        <w:t>自发文之日起</w:t>
      </w:r>
      <w:r>
        <w:rPr>
          <w:rFonts w:hint="eastAsia" w:eastAsiaTheme="minorEastAsia"/>
          <w:b/>
          <w:kern w:val="0"/>
          <w:sz w:val="24"/>
        </w:rPr>
        <w:t>执行</w:t>
      </w:r>
      <w:r>
        <w:rPr>
          <w:rFonts w:eastAsiaTheme="minorEastAsia"/>
          <w:b/>
          <w:kern w:val="0"/>
          <w:sz w:val="24"/>
        </w:rPr>
        <w:t>。</w:t>
      </w:r>
    </w:p>
    <w:p>
      <w:pPr>
        <w:snapToGrid w:val="0"/>
        <w:spacing w:line="312" w:lineRule="auto"/>
        <w:ind w:firstLine="482" w:firstLineChars="200"/>
        <w:outlineLvl w:val="0"/>
        <w:rPr>
          <w:rFonts w:hint="eastAsia" w:eastAsiaTheme="minorEastAsia"/>
          <w:b/>
          <w:kern w:val="0"/>
          <w:sz w:val="24"/>
          <w:lang w:val="en-US" w:eastAsia="zh-CN"/>
        </w:rPr>
      </w:pPr>
      <w:r>
        <w:rPr>
          <w:rFonts w:hint="eastAsia" w:eastAsiaTheme="minorEastAsia"/>
          <w:b/>
          <w:kern w:val="0"/>
          <w:sz w:val="24"/>
          <w:lang w:val="en-US" w:eastAsia="zh-CN"/>
        </w:rPr>
        <w:t xml:space="preserve"> </w:t>
      </w:r>
    </w:p>
    <w:p>
      <w:pPr>
        <w:wordWrap w:val="0"/>
        <w:snapToGrid w:val="0"/>
        <w:spacing w:line="312" w:lineRule="auto"/>
        <w:ind w:firstLine="480" w:firstLineChars="200"/>
        <w:jc w:val="right"/>
        <w:rPr>
          <w:rFonts w:eastAsiaTheme="minorEastAsia"/>
          <w:sz w:val="24"/>
        </w:rPr>
      </w:pPr>
      <w:r>
        <w:rPr>
          <w:rFonts w:hint="eastAsia" w:eastAsiaTheme="minorEastAsia"/>
          <w:sz w:val="24"/>
        </w:rPr>
        <w:t xml:space="preserve">会计学院    </w:t>
      </w:r>
    </w:p>
    <w:p>
      <w:pPr>
        <w:snapToGrid w:val="0"/>
        <w:spacing w:line="312" w:lineRule="auto"/>
        <w:ind w:firstLine="480" w:firstLineChars="200"/>
        <w:jc w:val="right"/>
        <w:rPr>
          <w:rFonts w:eastAsiaTheme="minorEastAsia"/>
          <w:sz w:val="24"/>
        </w:rPr>
      </w:pPr>
      <w:r>
        <w:rPr>
          <w:rFonts w:hint="eastAsia" w:eastAsiaTheme="minorEastAsia"/>
          <w:sz w:val="24"/>
        </w:rPr>
        <w:t>202</w:t>
      </w:r>
      <w:r>
        <w:rPr>
          <w:rFonts w:hint="eastAsia" w:eastAsiaTheme="minorEastAsia"/>
          <w:sz w:val="24"/>
          <w:lang w:val="en-US" w:eastAsia="zh-CN"/>
        </w:rPr>
        <w:t>1</w:t>
      </w:r>
      <w:r>
        <w:rPr>
          <w:rFonts w:hint="eastAsia" w:eastAsiaTheme="minorEastAsia"/>
          <w:sz w:val="24"/>
        </w:rPr>
        <w:t>年9月</w:t>
      </w:r>
      <w:r>
        <w:rPr>
          <w:rFonts w:hint="eastAsia" w:eastAsiaTheme="minorEastAsia"/>
          <w:sz w:val="24"/>
          <w:lang w:val="en-US" w:eastAsia="zh-CN"/>
        </w:rPr>
        <w:t>9</w:t>
      </w:r>
      <w:r>
        <w:rPr>
          <w:rFonts w:hint="eastAsia" w:eastAsiaTheme="minorEastAsia"/>
          <w:sz w:val="24"/>
        </w:rPr>
        <w:t>日</w:t>
      </w:r>
    </w:p>
    <w:p>
      <w:pPr>
        <w:snapToGrid w:val="0"/>
        <w:spacing w:line="312" w:lineRule="auto"/>
        <w:ind w:firstLine="482" w:firstLineChars="200"/>
        <w:outlineLvl w:val="0"/>
        <w:rPr>
          <w:rFonts w:hint="eastAsia" w:eastAsiaTheme="minorEastAsia"/>
          <w:b/>
          <w:kern w:val="0"/>
          <w:sz w:val="24"/>
          <w:lang w:val="en-US" w:eastAsia="zh-CN"/>
        </w:rPr>
      </w:pPr>
    </w:p>
    <w:p>
      <w:pPr>
        <w:snapToGrid w:val="0"/>
        <w:spacing w:line="312" w:lineRule="auto"/>
        <w:ind w:firstLine="482" w:firstLineChars="200"/>
        <w:rPr>
          <w:rFonts w:eastAsiaTheme="minorEastAsia"/>
          <w:b/>
          <w:kern w:val="0"/>
          <w:sz w:val="24"/>
        </w:rPr>
      </w:pPr>
    </w:p>
    <w:p>
      <w:pPr>
        <w:snapToGrid w:val="0"/>
        <w:spacing w:line="312" w:lineRule="auto"/>
        <w:rPr>
          <w:rFonts w:eastAsiaTheme="minorEastAsia"/>
          <w:b/>
          <w:kern w:val="0"/>
          <w:sz w:val="24"/>
        </w:rPr>
      </w:pPr>
    </w:p>
    <w:p>
      <w:pPr>
        <w:snapToGrid w:val="0"/>
        <w:spacing w:line="312" w:lineRule="auto"/>
        <w:ind w:firstLine="482" w:firstLineChars="200"/>
        <w:rPr>
          <w:rFonts w:eastAsiaTheme="minorEastAsia"/>
          <w:b/>
          <w:kern w:val="0"/>
          <w:sz w:val="24"/>
        </w:rPr>
      </w:pPr>
    </w:p>
    <w:p>
      <w:pPr>
        <w:snapToGrid w:val="0"/>
        <w:spacing w:line="312" w:lineRule="auto"/>
        <w:ind w:firstLine="482" w:firstLineChars="200"/>
        <w:rPr>
          <w:rFonts w:eastAsiaTheme="minorEastAsia"/>
          <w:b/>
          <w:kern w:val="0"/>
          <w:sz w:val="24"/>
        </w:rPr>
      </w:pPr>
    </w:p>
    <w:p>
      <w:pPr>
        <w:snapToGrid w:val="0"/>
        <w:spacing w:line="540" w:lineRule="exact"/>
        <w:rPr>
          <w:rFonts w:hint="eastAsia" w:ascii="黑体" w:hAnsi="宋体" w:eastAsia="黑体"/>
          <w:color w:val="000000"/>
          <w:kern w:val="0"/>
          <w:sz w:val="32"/>
          <w:szCs w:val="32"/>
        </w:rPr>
      </w:pPr>
      <w:r>
        <w:rPr>
          <w:rFonts w:hint="eastAsia" w:ascii="黑体" w:hAnsi="宋体" w:eastAsia="黑体"/>
          <w:color w:val="000000"/>
          <w:kern w:val="0"/>
          <w:sz w:val="32"/>
          <w:szCs w:val="32"/>
        </w:rPr>
        <w:t>附件</w:t>
      </w:r>
    </w:p>
    <w:p>
      <w:pPr>
        <w:jc w:val="center"/>
        <w:rPr>
          <w:rFonts w:ascii="黑体" w:hAnsi="宋体" w:eastAsia="黑体"/>
          <w:color w:val="000000"/>
          <w:kern w:val="0"/>
          <w:sz w:val="32"/>
          <w:szCs w:val="32"/>
        </w:rPr>
      </w:pPr>
      <w:r>
        <w:rPr>
          <w:rFonts w:hint="eastAsia" w:ascii="Times New Roman" w:hAnsi="Times New Roman" w:eastAsia="仿宋_GB2312" w:cs="Times New Roman"/>
          <w:b/>
          <w:kern w:val="0"/>
          <w:sz w:val="36"/>
          <w:szCs w:val="36"/>
        </w:rPr>
        <w:t>会计学院</w:t>
      </w:r>
      <w:r>
        <w:rPr>
          <w:rFonts w:ascii="Times New Roman" w:hAnsi="Times New Roman" w:eastAsia="仿宋_GB2312" w:cs="Times New Roman"/>
          <w:b/>
          <w:kern w:val="0"/>
          <w:sz w:val="36"/>
          <w:szCs w:val="36"/>
        </w:rPr>
        <w:t>综合评审成绩计算方法</w:t>
      </w:r>
    </w:p>
    <w:p>
      <w:pPr>
        <w:widowControl/>
        <w:snapToGrid w:val="0"/>
        <w:spacing w:line="500" w:lineRule="exact"/>
        <w:ind w:firstLine="551" w:firstLineChars="196"/>
        <w:jc w:val="left"/>
        <w:rPr>
          <w:rFonts w:hint="eastAsia" w:ascii="仿宋" w:hAnsi="仿宋" w:eastAsia="仿宋" w:cs="宋体"/>
          <w:b/>
          <w:bCs/>
          <w:kern w:val="0"/>
          <w:sz w:val="28"/>
          <w:szCs w:val="28"/>
          <w:u w:val="none" w:color="000000"/>
          <w:lang w:val="zh-CN"/>
        </w:rPr>
      </w:pPr>
      <w:r>
        <w:rPr>
          <w:rFonts w:hint="eastAsia" w:ascii="仿宋" w:hAnsi="仿宋" w:eastAsia="仿宋" w:cs="宋体"/>
          <w:b/>
          <w:bCs/>
          <w:kern w:val="0"/>
          <w:sz w:val="28"/>
          <w:szCs w:val="28"/>
          <w:u w:val="none" w:color="000000"/>
          <w:lang w:val="zh-CN"/>
        </w:rPr>
        <w:t>一、</w:t>
      </w:r>
      <w:r>
        <w:rPr>
          <w:rFonts w:ascii="仿宋" w:hAnsi="仿宋" w:eastAsia="仿宋" w:cs="宋体"/>
          <w:b/>
          <w:kern w:val="0"/>
          <w:sz w:val="28"/>
          <w:szCs w:val="28"/>
          <w:u w:val="none" w:color="000000"/>
          <w:lang w:val="zh-CN"/>
        </w:rPr>
        <w:t>普通</w:t>
      </w:r>
      <w:r>
        <w:rPr>
          <w:rFonts w:hint="eastAsia" w:ascii="仿宋" w:hAnsi="仿宋" w:eastAsia="仿宋" w:cs="宋体"/>
          <w:b/>
          <w:kern w:val="0"/>
          <w:sz w:val="28"/>
          <w:szCs w:val="28"/>
          <w:u w:val="none" w:color="000000"/>
          <w:lang w:val="zh-CN"/>
        </w:rPr>
        <w:t>推免生</w:t>
      </w:r>
    </w:p>
    <w:p>
      <w:pPr>
        <w:snapToGrid w:val="0"/>
        <w:spacing w:beforeLines="50" w:afterLines="50" w:line="312" w:lineRule="auto"/>
        <w:jc w:val="center"/>
        <w:rPr>
          <w:rFonts w:ascii="楷体" w:hAnsi="楷体" w:eastAsia="楷体"/>
          <w:bCs/>
          <w:kern w:val="0"/>
          <w:sz w:val="24"/>
        </w:rPr>
      </w:pPr>
      <w:r>
        <w:rPr>
          <w:rFonts w:ascii="楷体" w:hAnsi="楷体" w:eastAsia="楷体"/>
          <w:bCs/>
          <w:kern w:val="0"/>
          <w:sz w:val="24"/>
        </w:rPr>
        <w:t>综合评分=</w:t>
      </w:r>
      <w:r>
        <w:rPr>
          <w:rFonts w:hint="eastAsia" w:ascii="楷体" w:hAnsi="楷体" w:eastAsia="楷体"/>
          <w:bCs/>
          <w:kern w:val="0"/>
          <w:sz w:val="24"/>
        </w:rPr>
        <w:t>前三学年</w:t>
      </w:r>
      <w:r>
        <w:rPr>
          <w:rFonts w:ascii="楷体" w:hAnsi="楷体" w:eastAsia="楷体"/>
          <w:bCs/>
          <w:kern w:val="0"/>
          <w:sz w:val="24"/>
        </w:rPr>
        <w:t>平均学分绩点（5分制）*60+综合</w:t>
      </w:r>
      <w:r>
        <w:rPr>
          <w:rFonts w:hint="eastAsia" w:ascii="楷体" w:hAnsi="楷体" w:eastAsia="楷体"/>
          <w:bCs/>
          <w:kern w:val="0"/>
          <w:sz w:val="24"/>
        </w:rPr>
        <w:t>评审</w:t>
      </w:r>
      <w:r>
        <w:rPr>
          <w:rFonts w:ascii="楷体" w:hAnsi="楷体" w:eastAsia="楷体"/>
          <w:bCs/>
          <w:kern w:val="0"/>
          <w:sz w:val="24"/>
        </w:rPr>
        <w:t>成绩</w:t>
      </w:r>
      <w:r>
        <w:rPr>
          <w:rFonts w:hint="eastAsia" w:ascii="楷体" w:hAnsi="楷体" w:eastAsia="楷体"/>
          <w:bCs/>
          <w:kern w:val="0"/>
          <w:sz w:val="24"/>
        </w:rPr>
        <w:t>（满分1</w:t>
      </w:r>
      <w:r>
        <w:rPr>
          <w:rFonts w:ascii="楷体" w:hAnsi="楷体" w:eastAsia="楷体"/>
          <w:bCs/>
          <w:kern w:val="0"/>
          <w:sz w:val="24"/>
        </w:rPr>
        <w:t>00分）</w:t>
      </w:r>
    </w:p>
    <w:p>
      <w:pPr>
        <w:snapToGrid w:val="0"/>
        <w:spacing w:beforeLines="50" w:afterLines="50" w:line="312" w:lineRule="auto"/>
        <w:jc w:val="center"/>
        <w:rPr>
          <w:rFonts w:ascii="楷体" w:hAnsi="楷体" w:eastAsia="楷体"/>
          <w:bCs/>
          <w:kern w:val="0"/>
          <w:sz w:val="24"/>
        </w:rPr>
      </w:pPr>
      <w:r>
        <w:rPr>
          <w:rFonts w:ascii="楷体" w:hAnsi="楷体" w:eastAsia="楷体"/>
          <w:bCs/>
          <w:kern w:val="0"/>
          <w:sz w:val="24"/>
        </w:rPr>
        <w:t>综合评审成绩=奖学金+科研</w:t>
      </w:r>
      <w:r>
        <w:rPr>
          <w:rFonts w:hint="eastAsia" w:ascii="楷体" w:hAnsi="楷体" w:eastAsia="楷体"/>
          <w:bCs/>
          <w:kern w:val="0"/>
          <w:sz w:val="24"/>
        </w:rPr>
        <w:t>积分</w:t>
      </w:r>
      <w:r>
        <w:rPr>
          <w:rFonts w:ascii="楷体" w:hAnsi="楷体" w:eastAsia="楷体"/>
          <w:bCs/>
          <w:kern w:val="0"/>
          <w:sz w:val="24"/>
        </w:rPr>
        <w:t>+荣誉奖励+社会服务</w:t>
      </w:r>
    </w:p>
    <w:p>
      <w:pPr>
        <w:snapToGrid w:val="0"/>
        <w:spacing w:line="312" w:lineRule="auto"/>
        <w:ind w:firstLine="480" w:firstLineChars="200"/>
        <w:rPr>
          <w:rFonts w:eastAsiaTheme="minorEastAsia"/>
          <w:bCs/>
          <w:kern w:val="0"/>
          <w:sz w:val="24"/>
        </w:rPr>
      </w:pPr>
      <w:r>
        <w:rPr>
          <w:rFonts w:eastAsiaTheme="minorEastAsia"/>
          <w:bCs/>
          <w:kern w:val="0"/>
          <w:sz w:val="24"/>
        </w:rPr>
        <w:t>综合评审成绩</w:t>
      </w:r>
      <w:r>
        <w:rPr>
          <w:rFonts w:hint="eastAsia" w:eastAsiaTheme="minorEastAsia"/>
          <w:bCs/>
          <w:kern w:val="0"/>
          <w:sz w:val="24"/>
        </w:rPr>
        <w:t>表及综合评审成绩算办法</w:t>
      </w:r>
      <w:r>
        <w:rPr>
          <w:rFonts w:eastAsiaTheme="minorEastAsia"/>
          <w:bCs/>
          <w:kern w:val="0"/>
          <w:sz w:val="24"/>
        </w:rPr>
        <w:t>见附件</w:t>
      </w:r>
      <w:r>
        <w:rPr>
          <w:rFonts w:hint="eastAsia" w:eastAsiaTheme="minorEastAsia"/>
          <w:bCs/>
          <w:kern w:val="0"/>
          <w:sz w:val="24"/>
        </w:rPr>
        <w:t>2</w:t>
      </w:r>
      <w:r>
        <w:rPr>
          <w:rFonts w:eastAsiaTheme="minorEastAsia"/>
          <w:bCs/>
          <w:kern w:val="0"/>
          <w:sz w:val="24"/>
        </w:rPr>
        <w:t>。奖学金、科研</w:t>
      </w:r>
      <w:r>
        <w:rPr>
          <w:rFonts w:hint="eastAsia" w:eastAsiaTheme="minorEastAsia"/>
          <w:bCs/>
          <w:kern w:val="0"/>
          <w:sz w:val="24"/>
        </w:rPr>
        <w:t>积分</w:t>
      </w:r>
      <w:r>
        <w:rPr>
          <w:rFonts w:eastAsiaTheme="minorEastAsia"/>
          <w:bCs/>
          <w:kern w:val="0"/>
          <w:sz w:val="24"/>
        </w:rPr>
        <w:t>、荣誉、社会服务等各单项分数分别不超过50分、30分、10分、10分。</w:t>
      </w:r>
      <w:r>
        <w:rPr>
          <w:rFonts w:eastAsiaTheme="minorEastAsia"/>
          <w:kern w:val="0"/>
          <w:sz w:val="24"/>
        </w:rPr>
        <w:t>综合评审成绩不合格者（低于60分（不含））不予推荐</w:t>
      </w:r>
      <w:r>
        <w:rPr>
          <w:rFonts w:hint="eastAsia" w:eastAsiaTheme="minorEastAsia"/>
          <w:kern w:val="0"/>
          <w:sz w:val="24"/>
        </w:rPr>
        <w:t>，</w:t>
      </w:r>
      <w:r>
        <w:rPr>
          <w:rFonts w:eastAsiaTheme="minorEastAsia"/>
          <w:kern w:val="0"/>
          <w:sz w:val="24"/>
        </w:rPr>
        <w:t>所有</w:t>
      </w:r>
      <w:r>
        <w:rPr>
          <w:rFonts w:hint="eastAsia" w:eastAsiaTheme="minorEastAsia"/>
          <w:kern w:val="0"/>
          <w:sz w:val="24"/>
        </w:rPr>
        <w:t>申请者</w:t>
      </w:r>
      <w:r>
        <w:rPr>
          <w:rFonts w:eastAsiaTheme="minorEastAsia"/>
          <w:kern w:val="0"/>
          <w:sz w:val="24"/>
        </w:rPr>
        <w:t>的综合</w:t>
      </w:r>
      <w:r>
        <w:rPr>
          <w:rFonts w:hint="eastAsia" w:eastAsiaTheme="minorEastAsia"/>
          <w:kern w:val="0"/>
          <w:sz w:val="24"/>
        </w:rPr>
        <w:t>评分</w:t>
      </w:r>
      <w:r>
        <w:rPr>
          <w:rFonts w:eastAsiaTheme="minorEastAsia"/>
          <w:kern w:val="0"/>
          <w:sz w:val="24"/>
        </w:rPr>
        <w:t>材料须完整保留。</w:t>
      </w:r>
    </w:p>
    <w:p>
      <w:pPr>
        <w:snapToGrid w:val="0"/>
        <w:spacing w:line="312" w:lineRule="auto"/>
        <w:ind w:firstLine="480" w:firstLineChars="200"/>
        <w:rPr>
          <w:rFonts w:eastAsiaTheme="minorEastAsia"/>
          <w:kern w:val="0"/>
          <w:sz w:val="24"/>
        </w:rPr>
      </w:pPr>
      <w:r>
        <w:rPr>
          <w:rFonts w:eastAsiaTheme="minorEastAsia"/>
          <w:bCs/>
          <w:kern w:val="0"/>
          <w:sz w:val="24"/>
        </w:rPr>
        <w:t>如有综合评分相同情况时，则依据下列成绩内容顺次进行排名：综合评审成绩、平均学分绩点、科研</w:t>
      </w:r>
      <w:r>
        <w:rPr>
          <w:rFonts w:hint="eastAsia" w:eastAsiaTheme="minorEastAsia"/>
          <w:bCs/>
          <w:kern w:val="0"/>
          <w:sz w:val="24"/>
        </w:rPr>
        <w:t>积分</w:t>
      </w:r>
      <w:r>
        <w:rPr>
          <w:rFonts w:eastAsiaTheme="minorEastAsia"/>
          <w:bCs/>
          <w:kern w:val="0"/>
          <w:sz w:val="24"/>
        </w:rPr>
        <w:t>、英语成绩</w:t>
      </w:r>
      <w:r>
        <w:rPr>
          <w:rFonts w:hint="eastAsia" w:eastAsiaTheme="minorEastAsia"/>
          <w:bCs/>
          <w:kern w:val="0"/>
          <w:sz w:val="24"/>
        </w:rPr>
        <w:t>（英语六级优于英语四级）</w:t>
      </w:r>
      <w:r>
        <w:rPr>
          <w:rFonts w:eastAsiaTheme="minorEastAsia"/>
          <w:bCs/>
          <w:kern w:val="0"/>
          <w:sz w:val="24"/>
        </w:rPr>
        <w:t>。</w:t>
      </w:r>
      <w:r>
        <w:rPr>
          <w:rFonts w:eastAsiaTheme="minorEastAsia"/>
          <w:kern w:val="0"/>
          <w:sz w:val="24"/>
        </w:rPr>
        <w:t>学院公示期间如有异议的，直接向学院推荐工作小组反映，由其负责解释和调查处理。</w:t>
      </w:r>
    </w:p>
    <w:p>
      <w:pPr>
        <w:widowControl/>
        <w:snapToGrid w:val="0"/>
        <w:spacing w:line="500" w:lineRule="exact"/>
        <w:ind w:firstLine="551" w:firstLineChars="196"/>
        <w:jc w:val="left"/>
        <w:rPr>
          <w:rFonts w:hint="eastAsia" w:ascii="仿宋" w:hAnsi="仿宋" w:eastAsia="仿宋" w:cs="宋体"/>
          <w:b/>
          <w:bCs/>
          <w:kern w:val="0"/>
          <w:sz w:val="28"/>
          <w:szCs w:val="28"/>
          <w:u w:val="none" w:color="000000"/>
          <w:lang w:val="zh-CN"/>
        </w:rPr>
      </w:pPr>
      <w:r>
        <w:rPr>
          <w:rFonts w:hint="eastAsia" w:ascii="仿宋" w:hAnsi="仿宋" w:eastAsia="仿宋" w:cs="宋体"/>
          <w:b/>
          <w:bCs/>
          <w:kern w:val="0"/>
          <w:sz w:val="28"/>
          <w:szCs w:val="28"/>
          <w:u w:val="none" w:color="000000"/>
          <w:lang w:val="zh-CN"/>
        </w:rPr>
        <w:t>二、</w:t>
      </w:r>
      <w:r>
        <w:rPr>
          <w:rFonts w:hint="eastAsia" w:ascii="仿宋" w:hAnsi="仿宋" w:eastAsia="仿宋" w:cs="宋体"/>
          <w:b/>
          <w:kern w:val="0"/>
          <w:sz w:val="28"/>
          <w:szCs w:val="28"/>
          <w:u w:val="none" w:color="000000"/>
          <w:lang w:val="zh-CN"/>
        </w:rPr>
        <w:t>特殊学术专长</w:t>
      </w:r>
      <w:r>
        <w:rPr>
          <w:rFonts w:ascii="仿宋" w:hAnsi="仿宋" w:eastAsia="仿宋" w:cs="宋体"/>
          <w:b/>
          <w:kern w:val="0"/>
          <w:sz w:val="28"/>
          <w:szCs w:val="28"/>
          <w:u w:val="none" w:color="000000"/>
          <w:lang w:val="zh-CN"/>
        </w:rPr>
        <w:t>生</w:t>
      </w:r>
    </w:p>
    <w:p>
      <w:pPr>
        <w:snapToGrid w:val="0"/>
        <w:spacing w:line="312" w:lineRule="auto"/>
        <w:ind w:firstLine="480" w:firstLineChars="200"/>
        <w:rPr>
          <w:rFonts w:hint="eastAsia" w:eastAsiaTheme="minorEastAsia"/>
          <w:kern w:val="0"/>
          <w:sz w:val="24"/>
        </w:rPr>
      </w:pPr>
      <w:r>
        <w:rPr>
          <w:rFonts w:hint="eastAsia" w:eastAsiaTheme="minorEastAsia"/>
          <w:kern w:val="0"/>
          <w:sz w:val="24"/>
          <w:lang w:val="zh-CN"/>
        </w:rPr>
        <w:t>综合评分=前三学年平均学分绩点（5 分制）*60+</w:t>
      </w:r>
      <w:r>
        <w:rPr>
          <w:rFonts w:hint="eastAsia" w:eastAsiaTheme="minorEastAsia"/>
          <w:kern w:val="0"/>
          <w:sz w:val="24"/>
        </w:rPr>
        <w:t>科研积分（满分20分）*2+学术专长</w:t>
      </w:r>
      <w:r>
        <w:rPr>
          <w:rFonts w:hint="eastAsia" w:eastAsiaTheme="minorEastAsia"/>
          <w:kern w:val="0"/>
          <w:sz w:val="24"/>
          <w:lang w:val="zh-CN"/>
        </w:rPr>
        <w:t>评分（满分100分）*0.6</w:t>
      </w:r>
      <w:r>
        <w:rPr>
          <w:rFonts w:hint="eastAsia" w:eastAsiaTheme="minorEastAsia"/>
          <w:kern w:val="0"/>
          <w:sz w:val="24"/>
        </w:rPr>
        <w:t>。</w:t>
      </w:r>
    </w:p>
    <w:p>
      <w:pPr>
        <w:snapToGrid w:val="0"/>
        <w:spacing w:line="312" w:lineRule="auto"/>
        <w:ind w:firstLine="480" w:firstLineChars="200"/>
        <w:rPr>
          <w:rFonts w:eastAsiaTheme="minorEastAsia"/>
          <w:kern w:val="0"/>
          <w:sz w:val="24"/>
        </w:rPr>
      </w:pPr>
      <w:r>
        <w:rPr>
          <w:rFonts w:eastAsiaTheme="minorEastAsia"/>
          <w:kern w:val="0"/>
          <w:sz w:val="24"/>
        </w:rPr>
        <w:t>科研积分</w:t>
      </w:r>
      <w:r>
        <w:rPr>
          <w:rFonts w:hint="eastAsia" w:eastAsiaTheme="minorEastAsia"/>
          <w:kern w:val="0"/>
          <w:sz w:val="24"/>
        </w:rPr>
        <w:t>认定标准及原则依据见“附件2会计学院</w:t>
      </w:r>
      <w:r>
        <w:rPr>
          <w:rFonts w:eastAsiaTheme="minorEastAsia"/>
          <w:kern w:val="0"/>
          <w:sz w:val="24"/>
        </w:rPr>
        <w:t>综合评审成绩计算方法</w:t>
      </w:r>
      <w:r>
        <w:rPr>
          <w:rFonts w:hint="eastAsia" w:eastAsiaTheme="minorEastAsia"/>
          <w:kern w:val="0"/>
          <w:sz w:val="24"/>
        </w:rPr>
        <w:t>”中的表1</w:t>
      </w:r>
      <w:r>
        <w:rPr>
          <w:rFonts w:eastAsiaTheme="minorEastAsia"/>
          <w:kern w:val="0"/>
          <w:sz w:val="24"/>
        </w:rPr>
        <w:t>。</w:t>
      </w:r>
      <w:r>
        <w:rPr>
          <w:rFonts w:hint="eastAsia" w:eastAsiaTheme="minorEastAsia"/>
          <w:kern w:val="0"/>
          <w:sz w:val="24"/>
        </w:rPr>
        <w:t>学院成立面试专家审核小组（成员原则上应具有相关学科副教授及以上职称，一般不少于5人），组织综合面试答辩，对学生取得的标志性创新成果进行审核鉴定，排除抄袭、造假、冒名及有名无实等情况。专家审核小组要给出明确审核鉴定意见，每位成员须签字，答辩全程录音录像，</w:t>
      </w:r>
      <w:r>
        <w:rPr>
          <w:rFonts w:eastAsiaTheme="minorEastAsia"/>
          <w:kern w:val="0"/>
          <w:sz w:val="24"/>
        </w:rPr>
        <w:t>面试成绩</w:t>
      </w:r>
      <w:r>
        <w:rPr>
          <w:rFonts w:hint="eastAsia" w:eastAsiaTheme="minorEastAsia"/>
          <w:kern w:val="0"/>
          <w:sz w:val="24"/>
        </w:rPr>
        <w:t>公开公示。</w:t>
      </w:r>
    </w:p>
    <w:p>
      <w:pPr>
        <w:snapToGrid w:val="0"/>
        <w:spacing w:line="312" w:lineRule="auto"/>
        <w:ind w:firstLine="480" w:firstLineChars="200"/>
        <w:rPr>
          <w:rFonts w:eastAsiaTheme="minorEastAsia"/>
          <w:kern w:val="0"/>
          <w:sz w:val="24"/>
        </w:rPr>
      </w:pPr>
      <w:r>
        <w:rPr>
          <w:rFonts w:hint="eastAsia" w:eastAsiaTheme="minorEastAsia"/>
          <w:kern w:val="0"/>
          <w:sz w:val="24"/>
        </w:rPr>
        <w:t>综合面试成绩不合格者（低于60分（不含））不予推荐，</w:t>
      </w:r>
      <w:r>
        <w:rPr>
          <w:rFonts w:eastAsiaTheme="minorEastAsia"/>
          <w:kern w:val="0"/>
          <w:sz w:val="24"/>
        </w:rPr>
        <w:t>所有</w:t>
      </w:r>
      <w:r>
        <w:rPr>
          <w:rFonts w:hint="eastAsia" w:eastAsiaTheme="minorEastAsia"/>
          <w:kern w:val="0"/>
          <w:sz w:val="24"/>
        </w:rPr>
        <w:t>申请者</w:t>
      </w:r>
      <w:r>
        <w:rPr>
          <w:rFonts w:eastAsiaTheme="minorEastAsia"/>
          <w:kern w:val="0"/>
          <w:sz w:val="24"/>
        </w:rPr>
        <w:t>的综合</w:t>
      </w:r>
      <w:r>
        <w:rPr>
          <w:rFonts w:hint="eastAsia" w:eastAsiaTheme="minorEastAsia"/>
          <w:kern w:val="0"/>
          <w:sz w:val="24"/>
        </w:rPr>
        <w:t>评分</w:t>
      </w:r>
      <w:r>
        <w:rPr>
          <w:rFonts w:eastAsiaTheme="minorEastAsia"/>
          <w:kern w:val="0"/>
          <w:sz w:val="24"/>
        </w:rPr>
        <w:t>材料须完整保留。</w:t>
      </w:r>
    </w:p>
    <w:p>
      <w:pPr>
        <w:snapToGrid w:val="0"/>
        <w:spacing w:line="312" w:lineRule="auto"/>
        <w:ind w:firstLine="480" w:firstLineChars="200"/>
        <w:rPr>
          <w:rFonts w:hint="eastAsia" w:ascii="仿宋" w:hAnsi="仿宋" w:eastAsia="仿宋" w:cs="宋体"/>
          <w:kern w:val="0"/>
          <w:sz w:val="28"/>
          <w:szCs w:val="28"/>
          <w:u w:val="none" w:color="000000"/>
        </w:rPr>
      </w:pPr>
      <w:r>
        <w:rPr>
          <w:rFonts w:hint="eastAsia" w:eastAsiaTheme="minorEastAsia"/>
          <w:kern w:val="0"/>
          <w:sz w:val="24"/>
        </w:rPr>
        <w:t>每个学科</w:t>
      </w:r>
      <w:r>
        <w:rPr>
          <w:rFonts w:eastAsiaTheme="minorEastAsia"/>
          <w:kern w:val="0"/>
          <w:sz w:val="24"/>
        </w:rPr>
        <w:t>竞赛</w:t>
      </w:r>
      <w:r>
        <w:rPr>
          <w:rFonts w:hint="eastAsia" w:eastAsiaTheme="minorEastAsia"/>
          <w:kern w:val="0"/>
          <w:sz w:val="24"/>
        </w:rPr>
        <w:t>获奖团队限推一名特殊</w:t>
      </w:r>
      <w:r>
        <w:rPr>
          <w:rFonts w:eastAsiaTheme="minorEastAsia"/>
          <w:kern w:val="0"/>
          <w:sz w:val="24"/>
        </w:rPr>
        <w:t>学术专长</w:t>
      </w:r>
      <w:r>
        <w:rPr>
          <w:rFonts w:hint="eastAsia" w:eastAsiaTheme="minorEastAsia"/>
          <w:kern w:val="0"/>
          <w:sz w:val="24"/>
        </w:rPr>
        <w:t>生，若获奖团队成员存在学院交叉的，则由教务处及相关学院组成联合审核小组，组织面试答辩。</w:t>
      </w:r>
    </w:p>
    <w:p>
      <w:pPr>
        <w:widowControl/>
        <w:snapToGrid w:val="0"/>
        <w:spacing w:line="500" w:lineRule="exact"/>
        <w:ind w:right="370" w:firstLine="562" w:firstLineChars="200"/>
        <w:jc w:val="left"/>
        <w:rPr>
          <w:rFonts w:ascii="仿宋" w:hAnsi="仿宋" w:eastAsia="仿宋" w:cs="宋体"/>
          <w:b/>
          <w:bCs/>
          <w:kern w:val="0"/>
          <w:sz w:val="28"/>
          <w:szCs w:val="28"/>
          <w:u w:val="none" w:color="000000"/>
          <w:lang w:val="zh-CN"/>
        </w:rPr>
      </w:pPr>
      <w:r>
        <w:rPr>
          <w:rFonts w:hint="eastAsia" w:ascii="仿宋" w:hAnsi="仿宋" w:eastAsia="仿宋" w:cs="宋体"/>
          <w:b/>
          <w:bCs/>
          <w:kern w:val="0"/>
          <w:sz w:val="28"/>
          <w:szCs w:val="28"/>
          <w:u w:val="none" w:color="000000"/>
          <w:lang w:val="zh-CN"/>
        </w:rPr>
        <w:t>三、</w:t>
      </w:r>
      <w:r>
        <w:rPr>
          <w:rFonts w:hint="eastAsia" w:ascii="仿宋" w:hAnsi="仿宋" w:eastAsia="仿宋" w:cs="宋体"/>
          <w:b/>
          <w:kern w:val="0"/>
          <w:sz w:val="28"/>
          <w:szCs w:val="28"/>
          <w:u w:val="none" w:color="000000"/>
        </w:rPr>
        <w:t>科</w:t>
      </w:r>
      <w:r>
        <w:rPr>
          <w:rFonts w:hint="eastAsia" w:ascii="仿宋" w:hAnsi="仿宋" w:eastAsia="仿宋" w:cs="宋体"/>
          <w:b/>
          <w:bCs/>
          <w:kern w:val="0"/>
          <w:sz w:val="28"/>
          <w:szCs w:val="28"/>
          <w:u w:val="none" w:color="000000"/>
          <w:lang w:val="zh-CN"/>
        </w:rPr>
        <w:t>研积分认定</w:t>
      </w:r>
      <w:r>
        <w:rPr>
          <w:rFonts w:ascii="仿宋" w:hAnsi="仿宋" w:eastAsia="仿宋" w:cs="宋体"/>
          <w:b/>
          <w:bCs/>
          <w:kern w:val="0"/>
          <w:sz w:val="28"/>
          <w:szCs w:val="28"/>
          <w:u w:val="none" w:color="000000"/>
          <w:lang w:val="zh-CN"/>
        </w:rPr>
        <w:t>标准</w:t>
      </w:r>
      <w:r>
        <w:rPr>
          <w:rFonts w:hint="eastAsia" w:ascii="仿宋" w:hAnsi="仿宋" w:eastAsia="仿宋" w:cs="宋体"/>
          <w:b/>
          <w:bCs/>
          <w:kern w:val="0"/>
          <w:sz w:val="28"/>
          <w:szCs w:val="28"/>
          <w:u w:val="none" w:color="000000"/>
          <w:lang w:val="zh-CN"/>
        </w:rPr>
        <w:t>及原则</w:t>
      </w:r>
    </w:p>
    <w:p>
      <w:pPr>
        <w:snapToGrid w:val="0"/>
        <w:spacing w:line="312" w:lineRule="auto"/>
        <w:ind w:firstLine="480" w:firstLineChars="200"/>
        <w:rPr>
          <w:rFonts w:hint="eastAsia" w:eastAsiaTheme="minorEastAsia"/>
          <w:kern w:val="0"/>
          <w:sz w:val="24"/>
        </w:rPr>
      </w:pPr>
      <w:r>
        <w:rPr>
          <w:rFonts w:hint="eastAsia" w:eastAsiaTheme="minorEastAsia"/>
          <w:kern w:val="0"/>
          <w:sz w:val="24"/>
          <w:lang w:val="zh-CN"/>
        </w:rPr>
        <w:t>本文中的科研积分认定标准与《杭州电子科技大学本科学生“科研育人”管理办法》（杭电教〔2020〕85号）相同。</w:t>
      </w:r>
    </w:p>
    <w:p>
      <w:pPr>
        <w:widowControl/>
        <w:spacing w:line="540" w:lineRule="exact"/>
        <w:ind w:right="370" w:firstLine="480" w:firstLineChars="200"/>
        <w:jc w:val="center"/>
        <w:rPr>
          <w:rFonts w:hint="eastAsia" w:ascii="仿宋" w:hAnsi="仿宋" w:eastAsia="仿宋" w:cs="宋体"/>
          <w:kern w:val="0"/>
          <w:sz w:val="24"/>
          <w:u w:val="none" w:color="000000"/>
        </w:rPr>
      </w:pPr>
      <w:r>
        <w:rPr>
          <w:rFonts w:hint="eastAsia" w:ascii="仿宋" w:hAnsi="仿宋" w:eastAsia="仿宋" w:cs="宋体"/>
          <w:kern w:val="0"/>
          <w:sz w:val="24"/>
          <w:u w:val="none" w:color="000000"/>
        </w:rPr>
        <w:t>表1  科研积分认定标准</w:t>
      </w:r>
    </w:p>
    <w:tbl>
      <w:tblPr>
        <w:tblStyle w:val="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2301"/>
        <w:gridCol w:w="2127"/>
        <w:gridCol w:w="212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209" w:type="dxa"/>
            <w:noWrap w:val="0"/>
            <w:vAlign w:val="top"/>
          </w:tcPr>
          <w:p>
            <w:pPr>
              <w:snapToGrid w:val="0"/>
              <w:jc w:val="center"/>
              <w:rPr>
                <w:rFonts w:hint="eastAsia" w:ascii="仿宋" w:hAnsi="仿宋" w:eastAsia="仿宋"/>
                <w:b/>
                <w:color w:val="000000"/>
                <w:spacing w:val="-4"/>
                <w:kern w:val="0"/>
                <w:sz w:val="24"/>
              </w:rPr>
            </w:pPr>
            <w:r>
              <w:rPr>
                <w:rFonts w:hint="eastAsia" w:ascii="仿宋" w:hAnsi="仿宋" w:eastAsia="仿宋"/>
                <w:b/>
                <w:color w:val="000000"/>
                <w:spacing w:val="-4"/>
                <w:kern w:val="0"/>
                <w:sz w:val="24"/>
              </w:rPr>
              <w:t>项目名称</w:t>
            </w:r>
          </w:p>
        </w:tc>
        <w:tc>
          <w:tcPr>
            <w:tcW w:w="6554" w:type="dxa"/>
            <w:gridSpan w:val="3"/>
            <w:noWrap w:val="0"/>
            <w:vAlign w:val="top"/>
          </w:tcPr>
          <w:p>
            <w:pPr>
              <w:snapToGrid w:val="0"/>
              <w:jc w:val="center"/>
              <w:rPr>
                <w:rFonts w:hint="eastAsia" w:ascii="仿宋" w:hAnsi="仿宋" w:eastAsia="仿宋"/>
                <w:b/>
                <w:color w:val="000000"/>
                <w:spacing w:val="-4"/>
                <w:kern w:val="0"/>
                <w:sz w:val="24"/>
              </w:rPr>
            </w:pPr>
            <w:r>
              <w:rPr>
                <w:rFonts w:hint="eastAsia" w:ascii="仿宋" w:hAnsi="仿宋" w:eastAsia="仿宋"/>
                <w:b/>
                <w:color w:val="000000"/>
                <w:spacing w:val="-4"/>
                <w:kern w:val="0"/>
                <w:sz w:val="24"/>
              </w:rPr>
              <w:t>内容与标准</w:t>
            </w:r>
          </w:p>
        </w:tc>
        <w:tc>
          <w:tcPr>
            <w:tcW w:w="992" w:type="dxa"/>
            <w:noWrap w:val="0"/>
            <w:vAlign w:val="top"/>
          </w:tcPr>
          <w:p>
            <w:pPr>
              <w:snapToGrid w:val="0"/>
              <w:jc w:val="center"/>
              <w:rPr>
                <w:rFonts w:hint="eastAsia" w:ascii="仿宋" w:hAnsi="仿宋" w:eastAsia="仿宋"/>
                <w:b/>
                <w:color w:val="000000"/>
                <w:spacing w:val="-4"/>
                <w:kern w:val="0"/>
                <w:sz w:val="24"/>
              </w:rPr>
            </w:pPr>
            <w:r>
              <w:rPr>
                <w:rFonts w:hint="eastAsia" w:ascii="仿宋" w:hAnsi="仿宋" w:eastAsia="仿宋"/>
                <w:b/>
                <w:color w:val="000000"/>
                <w:spacing w:val="-4"/>
                <w:kern w:val="0"/>
                <w:sz w:val="24"/>
              </w:rPr>
              <w:t>积分数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restart"/>
            <w:noWrap w:val="0"/>
            <w:vAlign w:val="center"/>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学科竞赛</w:t>
            </w:r>
          </w:p>
        </w:tc>
        <w:tc>
          <w:tcPr>
            <w:tcW w:w="2301"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国家级学科竞赛（含国际赛）获奖</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一等奖（特等奖）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二等奖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三等奖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省级（赛区）学科竞赛项目</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一等奖（特等奖）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二等奖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三等奖</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科研项目</w:t>
            </w:r>
          </w:p>
        </w:tc>
        <w:tc>
          <w:tcPr>
            <w:tcW w:w="2301"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科研项目（大创项目、新苗项目等）</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国家级</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center"/>
          </w:tcPr>
          <w:p>
            <w:pPr>
              <w:snapToGrid w:val="0"/>
              <w:jc w:val="center"/>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省级</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校级</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科研成果</w:t>
            </w:r>
          </w:p>
        </w:tc>
        <w:tc>
          <w:tcPr>
            <w:tcW w:w="2301" w:type="dxa"/>
            <w:vMerge w:val="restart"/>
            <w:noWrap w:val="0"/>
            <w:vAlign w:val="center"/>
          </w:tcPr>
          <w:p>
            <w:pPr>
              <w:snapToGrid w:val="0"/>
              <w:jc w:val="center"/>
              <w:rPr>
                <w:rFonts w:hint="eastAsia" w:ascii="仿宋" w:hAnsi="仿宋" w:eastAsia="仿宋"/>
                <w:color w:val="000000"/>
                <w:kern w:val="0"/>
                <w:sz w:val="24"/>
              </w:rPr>
            </w:pPr>
            <w:r>
              <w:rPr>
                <w:rFonts w:hint="eastAsia" w:ascii="仿宋" w:hAnsi="仿宋" w:eastAsia="仿宋"/>
                <w:color w:val="000000"/>
                <w:spacing w:val="-4"/>
                <w:kern w:val="0"/>
                <w:sz w:val="24"/>
              </w:rPr>
              <w:t>学术论文</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一级及以上期刊</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ascii="仿宋" w:hAnsi="仿宋" w:eastAsia="仿宋"/>
                <w:color w:val="000000"/>
                <w:spacing w:val="-4"/>
                <w:kern w:val="0"/>
                <w:sz w:val="24"/>
              </w:rPr>
            </w:pPr>
            <w:r>
              <w:rPr>
                <w:rFonts w:hint="eastAsia" w:ascii="仿宋" w:hAnsi="仿宋" w:eastAsia="仿宋"/>
                <w:color w:val="000000"/>
                <w:spacing w:val="-4"/>
                <w:kern w:val="0"/>
                <w:sz w:val="24"/>
              </w:rPr>
              <w:t>核心期刊/国际会议/GF报告</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ascii="仿宋" w:hAnsi="仿宋" w:eastAsia="仿宋"/>
                <w:color w:val="000000"/>
                <w:spacing w:val="-4"/>
                <w:kern w:val="0"/>
                <w:sz w:val="24"/>
              </w:rPr>
            </w:pPr>
            <w:r>
              <w:rPr>
                <w:rFonts w:hint="eastAsia" w:ascii="仿宋" w:hAnsi="仿宋" w:eastAsia="仿宋"/>
                <w:color w:val="000000"/>
                <w:spacing w:val="-4"/>
                <w:kern w:val="0"/>
                <w:sz w:val="24"/>
              </w:rPr>
              <w:t>一般期刊/国内会议</w:t>
            </w:r>
          </w:p>
        </w:tc>
        <w:tc>
          <w:tcPr>
            <w:tcW w:w="992" w:type="dxa"/>
            <w:noWrap w:val="0"/>
            <w:vAlign w:val="top"/>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restart"/>
            <w:noWrap w:val="0"/>
            <w:vAlign w:val="center"/>
          </w:tcPr>
          <w:p>
            <w:pPr>
              <w:snapToGrid w:val="0"/>
              <w:jc w:val="center"/>
              <w:rPr>
                <w:rFonts w:hint="eastAsia" w:ascii="仿宋" w:hAnsi="仿宋" w:eastAsia="仿宋"/>
                <w:color w:val="000000"/>
                <w:spacing w:val="-4"/>
                <w:kern w:val="0"/>
                <w:sz w:val="24"/>
              </w:rPr>
            </w:pPr>
            <w:r>
              <w:rPr>
                <w:rFonts w:hint="eastAsia" w:ascii="仿宋" w:hAnsi="仿宋" w:eastAsia="仿宋"/>
                <w:color w:val="000000"/>
                <w:spacing w:val="-4"/>
                <w:kern w:val="0"/>
                <w:sz w:val="24"/>
              </w:rPr>
              <w:t>学术专著、教材等</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独著或主编的教材、专著</w:t>
            </w:r>
          </w:p>
        </w:tc>
        <w:tc>
          <w:tcPr>
            <w:tcW w:w="992" w:type="dxa"/>
            <w:noWrap w:val="0"/>
            <w:vAlign w:val="top"/>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2127" w:type="dxa"/>
            <w:vMerge w:val="restart"/>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参与教师主编的教材、专著</w:t>
            </w:r>
          </w:p>
        </w:tc>
        <w:tc>
          <w:tcPr>
            <w:tcW w:w="2126" w:type="dxa"/>
            <w:noWrap w:val="0"/>
            <w:vAlign w:val="top"/>
          </w:tcPr>
          <w:p>
            <w:pPr>
              <w:snapToGrid w:val="0"/>
              <w:rPr>
                <w:rFonts w:ascii="仿宋" w:hAnsi="仿宋" w:eastAsia="仿宋"/>
                <w:color w:val="000000"/>
                <w:spacing w:val="-4"/>
                <w:kern w:val="0"/>
                <w:sz w:val="24"/>
              </w:rPr>
            </w:pPr>
            <w:r>
              <w:rPr>
                <w:rFonts w:hint="eastAsia" w:ascii="仿宋" w:hAnsi="仿宋" w:eastAsia="仿宋"/>
                <w:color w:val="000000"/>
                <w:spacing w:val="-4"/>
                <w:kern w:val="0"/>
                <w:sz w:val="24"/>
              </w:rPr>
              <w:t>大于20000字</w:t>
            </w:r>
          </w:p>
        </w:tc>
        <w:tc>
          <w:tcPr>
            <w:tcW w:w="992" w:type="dxa"/>
            <w:noWrap w:val="0"/>
            <w:vAlign w:val="top"/>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2127" w:type="dxa"/>
            <w:vMerge w:val="continue"/>
            <w:noWrap w:val="0"/>
            <w:vAlign w:val="top"/>
          </w:tcPr>
          <w:p>
            <w:pPr>
              <w:snapToGrid w:val="0"/>
              <w:rPr>
                <w:rFonts w:hint="eastAsia" w:ascii="仿宋" w:hAnsi="仿宋" w:eastAsia="仿宋"/>
                <w:color w:val="000000"/>
                <w:spacing w:val="-4"/>
                <w:kern w:val="0"/>
                <w:sz w:val="24"/>
              </w:rPr>
            </w:pPr>
          </w:p>
        </w:tc>
        <w:tc>
          <w:tcPr>
            <w:tcW w:w="2126" w:type="dxa"/>
            <w:noWrap w:val="0"/>
            <w:vAlign w:val="top"/>
          </w:tcPr>
          <w:p>
            <w:pPr>
              <w:snapToGrid w:val="0"/>
              <w:rPr>
                <w:rFonts w:ascii="仿宋" w:hAnsi="仿宋" w:eastAsia="仿宋"/>
                <w:color w:val="000000"/>
                <w:spacing w:val="-4"/>
                <w:kern w:val="0"/>
                <w:sz w:val="24"/>
              </w:rPr>
            </w:pPr>
            <w:r>
              <w:rPr>
                <w:rFonts w:hint="eastAsia" w:ascii="仿宋" w:hAnsi="仿宋" w:eastAsia="仿宋"/>
                <w:color w:val="000000"/>
                <w:spacing w:val="-4"/>
                <w:kern w:val="0"/>
                <w:sz w:val="24"/>
              </w:rPr>
              <w:t>小于20000字</w:t>
            </w:r>
          </w:p>
        </w:tc>
        <w:tc>
          <w:tcPr>
            <w:tcW w:w="992" w:type="dxa"/>
            <w:noWrap w:val="0"/>
            <w:vAlign w:val="top"/>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restart"/>
            <w:noWrap w:val="0"/>
            <w:vAlign w:val="center"/>
          </w:tcPr>
          <w:p>
            <w:pPr>
              <w:snapToGrid w:val="0"/>
              <w:jc w:val="center"/>
              <w:rPr>
                <w:rFonts w:hint="eastAsia" w:ascii="仿宋" w:hAnsi="仿宋" w:eastAsia="仿宋"/>
                <w:color w:val="000000"/>
                <w:kern w:val="0"/>
                <w:sz w:val="24"/>
              </w:rPr>
            </w:pPr>
            <w:r>
              <w:rPr>
                <w:rFonts w:hint="eastAsia" w:ascii="仿宋" w:hAnsi="仿宋" w:eastAsia="仿宋"/>
                <w:color w:val="000000"/>
                <w:spacing w:val="-4"/>
                <w:kern w:val="0"/>
                <w:sz w:val="24"/>
              </w:rPr>
              <w:t>专利</w:t>
            </w: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发明专利</w:t>
            </w:r>
          </w:p>
        </w:tc>
        <w:tc>
          <w:tcPr>
            <w:tcW w:w="992" w:type="dxa"/>
            <w:noWrap w:val="0"/>
            <w:vAlign w:val="top"/>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209" w:type="dxa"/>
            <w:vMerge w:val="continue"/>
            <w:noWrap w:val="0"/>
            <w:vAlign w:val="top"/>
          </w:tcPr>
          <w:p>
            <w:pPr>
              <w:snapToGrid w:val="0"/>
              <w:rPr>
                <w:rFonts w:hint="eastAsia" w:ascii="仿宋" w:hAnsi="仿宋" w:eastAsia="仿宋"/>
                <w:color w:val="000000"/>
                <w:spacing w:val="-4"/>
                <w:kern w:val="0"/>
                <w:sz w:val="24"/>
              </w:rPr>
            </w:pPr>
          </w:p>
        </w:tc>
        <w:tc>
          <w:tcPr>
            <w:tcW w:w="2301" w:type="dxa"/>
            <w:vMerge w:val="continue"/>
            <w:noWrap w:val="0"/>
            <w:vAlign w:val="top"/>
          </w:tcPr>
          <w:p>
            <w:pPr>
              <w:snapToGrid w:val="0"/>
              <w:rPr>
                <w:rFonts w:hint="eastAsia" w:ascii="仿宋" w:hAnsi="仿宋" w:eastAsia="仿宋"/>
                <w:color w:val="000000"/>
                <w:spacing w:val="-4"/>
                <w:kern w:val="0"/>
                <w:sz w:val="24"/>
              </w:rPr>
            </w:pPr>
          </w:p>
        </w:tc>
        <w:tc>
          <w:tcPr>
            <w:tcW w:w="4253" w:type="dxa"/>
            <w:gridSpan w:val="2"/>
            <w:noWrap w:val="0"/>
            <w:vAlign w:val="top"/>
          </w:tcPr>
          <w:p>
            <w:pPr>
              <w:snapToGrid w:val="0"/>
              <w:rPr>
                <w:rFonts w:hint="eastAsia" w:ascii="仿宋" w:hAnsi="仿宋" w:eastAsia="仿宋"/>
                <w:color w:val="000000"/>
                <w:spacing w:val="-4"/>
                <w:kern w:val="0"/>
                <w:sz w:val="24"/>
              </w:rPr>
            </w:pPr>
            <w:r>
              <w:rPr>
                <w:rFonts w:hint="eastAsia" w:ascii="仿宋" w:hAnsi="仿宋" w:eastAsia="仿宋"/>
                <w:color w:val="000000"/>
                <w:spacing w:val="-4"/>
                <w:kern w:val="0"/>
                <w:sz w:val="24"/>
              </w:rPr>
              <w:t>实用新型专利</w:t>
            </w:r>
          </w:p>
        </w:tc>
        <w:tc>
          <w:tcPr>
            <w:tcW w:w="992" w:type="dxa"/>
            <w:noWrap w:val="0"/>
            <w:vAlign w:val="top"/>
          </w:tcPr>
          <w:p>
            <w:pPr>
              <w:snapToGrid w:val="0"/>
              <w:jc w:val="center"/>
              <w:rPr>
                <w:rFonts w:ascii="仿宋" w:hAnsi="仿宋" w:eastAsia="仿宋"/>
                <w:color w:val="000000"/>
                <w:spacing w:val="-4"/>
                <w:kern w:val="0"/>
                <w:sz w:val="24"/>
              </w:rPr>
            </w:pPr>
            <w:r>
              <w:rPr>
                <w:rFonts w:hint="eastAsia" w:ascii="仿宋" w:hAnsi="仿宋" w:eastAsia="仿宋"/>
                <w:color w:val="000000"/>
                <w:spacing w:val="-4"/>
                <w:kern w:val="0"/>
                <w:sz w:val="24"/>
              </w:rPr>
              <w:t>3</w:t>
            </w:r>
          </w:p>
        </w:tc>
      </w:tr>
    </w:tbl>
    <w:p>
      <w:pPr>
        <w:widowControl/>
        <w:spacing w:line="540" w:lineRule="exact"/>
        <w:ind w:left="359" w:leftChars="171" w:right="352" w:firstLine="579" w:firstLineChars="206"/>
        <w:jc w:val="left"/>
        <w:rPr>
          <w:rFonts w:hint="eastAsia" w:ascii="仿宋" w:hAnsi="仿宋" w:eastAsia="仿宋" w:cs="宋体"/>
          <w:b/>
          <w:bCs/>
          <w:color w:val="000000"/>
          <w:kern w:val="0"/>
          <w:sz w:val="28"/>
          <w:szCs w:val="28"/>
          <w:u w:val="none" w:color="000000"/>
          <w:lang w:val="zh-CN"/>
        </w:rPr>
      </w:pPr>
      <w:r>
        <w:rPr>
          <w:rFonts w:hint="eastAsia" w:ascii="仿宋" w:hAnsi="仿宋" w:eastAsia="仿宋" w:cs="宋体"/>
          <w:b/>
          <w:bCs/>
          <w:color w:val="000000"/>
          <w:kern w:val="0"/>
          <w:sz w:val="28"/>
          <w:szCs w:val="28"/>
          <w:u w:val="none" w:color="000000"/>
          <w:lang w:val="zh-CN"/>
        </w:rPr>
        <w:t>科研</w:t>
      </w:r>
      <w:r>
        <w:rPr>
          <w:rFonts w:ascii="仿宋" w:hAnsi="仿宋" w:eastAsia="仿宋" w:cs="宋体"/>
          <w:b/>
          <w:bCs/>
          <w:color w:val="000000"/>
          <w:kern w:val="0"/>
          <w:sz w:val="28"/>
          <w:szCs w:val="28"/>
          <w:u w:val="none" w:color="000000"/>
          <w:lang w:val="zh-CN"/>
        </w:rPr>
        <w:t>积分</w:t>
      </w:r>
      <w:r>
        <w:rPr>
          <w:rFonts w:hint="eastAsia" w:ascii="仿宋" w:hAnsi="仿宋" w:eastAsia="仿宋" w:cs="宋体"/>
          <w:b/>
          <w:bCs/>
          <w:color w:val="000000"/>
          <w:kern w:val="0"/>
          <w:sz w:val="28"/>
          <w:szCs w:val="28"/>
          <w:u w:val="none" w:color="000000"/>
          <w:lang w:val="zh-CN"/>
        </w:rPr>
        <w:t>认定原则</w:t>
      </w:r>
      <w:r>
        <w:rPr>
          <w:rFonts w:ascii="仿宋" w:hAnsi="仿宋" w:eastAsia="仿宋" w:cs="宋体"/>
          <w:b/>
          <w:bCs/>
          <w:color w:val="000000"/>
          <w:kern w:val="0"/>
          <w:sz w:val="28"/>
          <w:szCs w:val="28"/>
          <w:u w:val="none" w:color="000000"/>
          <w:lang w:val="zh-CN"/>
        </w:rPr>
        <w:t>：</w:t>
      </w:r>
    </w:p>
    <w:p>
      <w:pPr>
        <w:snapToGrid w:val="0"/>
        <w:spacing w:line="312" w:lineRule="auto"/>
        <w:ind w:firstLine="480" w:firstLineChars="200"/>
        <w:rPr>
          <w:rFonts w:hint="eastAsia" w:eastAsiaTheme="minorEastAsia"/>
          <w:kern w:val="0"/>
          <w:sz w:val="24"/>
          <w:lang w:val="zh-CN"/>
        </w:rPr>
      </w:pPr>
      <w:r>
        <w:rPr>
          <w:rFonts w:hint="eastAsia" w:eastAsiaTheme="minorEastAsia"/>
          <w:kern w:val="0"/>
          <w:sz w:val="24"/>
          <w:lang w:val="zh-CN"/>
        </w:rPr>
        <w:fldChar w:fldCharType="begin"/>
      </w:r>
      <w:r>
        <w:rPr>
          <w:rFonts w:hint="eastAsia" w:eastAsiaTheme="minorEastAsia"/>
          <w:kern w:val="0"/>
          <w:sz w:val="24"/>
          <w:lang w:val="zh-CN"/>
        </w:rPr>
        <w:instrText xml:space="preserve"> = 1 \* GB3 </w:instrText>
      </w:r>
      <w:r>
        <w:rPr>
          <w:rFonts w:hint="eastAsia" w:eastAsiaTheme="minorEastAsia"/>
          <w:kern w:val="0"/>
          <w:sz w:val="24"/>
          <w:lang w:val="zh-CN"/>
        </w:rPr>
        <w:fldChar w:fldCharType="separate"/>
      </w:r>
      <w:r>
        <w:rPr>
          <w:rFonts w:hint="eastAsia" w:eastAsiaTheme="minorEastAsia"/>
          <w:kern w:val="0"/>
          <w:sz w:val="24"/>
          <w:lang w:val="zh-CN"/>
        </w:rPr>
        <w:t>①</w:t>
      </w:r>
      <w:r>
        <w:rPr>
          <w:rFonts w:hint="eastAsia" w:eastAsiaTheme="minorEastAsia"/>
          <w:kern w:val="0"/>
          <w:sz w:val="24"/>
          <w:lang w:val="zh-CN"/>
        </w:rPr>
        <w:fldChar w:fldCharType="end"/>
      </w:r>
      <w:r>
        <w:rPr>
          <w:rFonts w:hint="eastAsia" w:eastAsiaTheme="minorEastAsia"/>
          <w:kern w:val="0"/>
          <w:sz w:val="24"/>
          <w:lang w:val="zh-CN"/>
        </w:rPr>
        <w:t>科研积分须在当年8月31日（含）之前获得。</w:t>
      </w:r>
    </w:p>
    <w:p>
      <w:pPr>
        <w:snapToGrid w:val="0"/>
        <w:spacing w:line="312" w:lineRule="auto"/>
        <w:ind w:firstLine="480" w:firstLineChars="200"/>
        <w:rPr>
          <w:rFonts w:hint="eastAsia" w:eastAsiaTheme="minorEastAsia"/>
          <w:kern w:val="0"/>
          <w:sz w:val="24"/>
          <w:lang w:val="zh-CN"/>
        </w:rPr>
      </w:pPr>
      <w:r>
        <w:rPr>
          <w:rFonts w:hint="eastAsia" w:eastAsiaTheme="minorEastAsia"/>
          <w:kern w:val="0"/>
          <w:sz w:val="24"/>
          <w:lang w:val="zh-CN"/>
        </w:rPr>
        <w:fldChar w:fldCharType="begin"/>
      </w:r>
      <w:r>
        <w:rPr>
          <w:rFonts w:hint="eastAsia" w:eastAsiaTheme="minorEastAsia"/>
          <w:kern w:val="0"/>
          <w:sz w:val="24"/>
          <w:lang w:val="zh-CN"/>
        </w:rPr>
        <w:instrText xml:space="preserve"> = 2 \* GB3 </w:instrText>
      </w:r>
      <w:r>
        <w:rPr>
          <w:rFonts w:hint="eastAsia" w:eastAsiaTheme="minorEastAsia"/>
          <w:kern w:val="0"/>
          <w:sz w:val="24"/>
          <w:lang w:val="zh-CN"/>
        </w:rPr>
        <w:fldChar w:fldCharType="separate"/>
      </w:r>
      <w:r>
        <w:rPr>
          <w:rFonts w:hint="eastAsia" w:eastAsiaTheme="minorEastAsia"/>
          <w:kern w:val="0"/>
          <w:sz w:val="24"/>
          <w:lang w:val="zh-CN"/>
        </w:rPr>
        <w:t>②</w:t>
      </w:r>
      <w:r>
        <w:rPr>
          <w:rFonts w:hint="eastAsia" w:eastAsiaTheme="minorEastAsia"/>
          <w:kern w:val="0"/>
          <w:sz w:val="24"/>
          <w:lang w:val="zh-CN"/>
        </w:rPr>
        <w:fldChar w:fldCharType="end"/>
      </w:r>
      <w:r>
        <w:rPr>
          <w:rFonts w:hint="eastAsia" w:eastAsiaTheme="minorEastAsia"/>
          <w:kern w:val="0"/>
          <w:sz w:val="24"/>
          <w:lang w:val="zh-CN"/>
        </w:rPr>
        <w:t xml:space="preserve">学科竞赛项目由教务处负责认定，科研项目由相关组织部门负责认定。学科竞赛的科研积分计算以参赛队为单位，每人均可计算满额积分，且原则上每队计分不超过5人。科研项目的科研积分计算以项目团队为单位，项目负责人计算满额积分，项目参与人员积分减半，且原则上项目计分人员不超过5人。同一年度的同一学科竞赛以最高获奖级别计分，同一年度的同一科研项目以最高立项等级计分，原则上不累计计分；集体奖项与个人奖项有重复的，取最高分；同一项目跨年度再次获得更高级别奖项，计算差值予以累计。                                                                          </w:t>
      </w:r>
    </w:p>
    <w:p>
      <w:pPr>
        <w:snapToGrid w:val="0"/>
        <w:spacing w:line="312" w:lineRule="auto"/>
        <w:ind w:firstLine="480" w:firstLineChars="200"/>
        <w:rPr>
          <w:rFonts w:hint="eastAsia" w:eastAsiaTheme="minorEastAsia"/>
          <w:kern w:val="0"/>
          <w:sz w:val="24"/>
          <w:lang w:val="zh-CN"/>
        </w:rPr>
      </w:pPr>
      <w:r>
        <w:rPr>
          <w:rFonts w:hint="eastAsia" w:eastAsiaTheme="minorEastAsia"/>
          <w:kern w:val="0"/>
          <w:sz w:val="24"/>
          <w:lang w:val="zh-CN"/>
        </w:rPr>
        <w:fldChar w:fldCharType="begin"/>
      </w:r>
      <w:r>
        <w:rPr>
          <w:rFonts w:hint="eastAsia" w:eastAsiaTheme="minorEastAsia"/>
          <w:kern w:val="0"/>
          <w:sz w:val="24"/>
          <w:lang w:val="zh-CN"/>
        </w:rPr>
        <w:instrText xml:space="preserve"> = 3 \* GB3 </w:instrText>
      </w:r>
      <w:r>
        <w:rPr>
          <w:rFonts w:hint="eastAsia" w:eastAsiaTheme="minorEastAsia"/>
          <w:kern w:val="0"/>
          <w:sz w:val="24"/>
          <w:lang w:val="zh-CN"/>
        </w:rPr>
        <w:fldChar w:fldCharType="separate"/>
      </w:r>
      <w:r>
        <w:rPr>
          <w:rFonts w:hint="eastAsia" w:eastAsiaTheme="minorEastAsia"/>
          <w:kern w:val="0"/>
          <w:sz w:val="24"/>
          <w:lang w:val="zh-CN"/>
        </w:rPr>
        <w:t>③</w:t>
      </w:r>
      <w:r>
        <w:rPr>
          <w:rFonts w:hint="eastAsia" w:eastAsiaTheme="minorEastAsia"/>
          <w:kern w:val="0"/>
          <w:sz w:val="24"/>
          <w:lang w:val="zh-CN"/>
        </w:rPr>
        <w:fldChar w:fldCharType="end"/>
      </w:r>
      <w:r>
        <w:rPr>
          <w:rFonts w:hint="eastAsia" w:eastAsiaTheme="minorEastAsia"/>
          <w:kern w:val="0"/>
          <w:sz w:val="24"/>
          <w:lang w:val="zh-CN"/>
        </w:rPr>
        <w:t>科研成果应与所学专业相关，以第一作者完成的成果方可计算科研积分，成果可累计计分。参与教师主编的教材须由教师方提供相应证明材料后予以认定，专利须授权后予以认定，期刊及出版社认定级别以学校科学技术研究院最新规定为准。</w:t>
      </w:r>
    </w:p>
    <w:p>
      <w:pPr>
        <w:snapToGrid w:val="0"/>
        <w:spacing w:line="312" w:lineRule="auto"/>
        <w:ind w:firstLine="480" w:firstLineChars="200"/>
        <w:rPr>
          <w:rFonts w:hint="eastAsia" w:eastAsiaTheme="minorEastAsia"/>
          <w:kern w:val="0"/>
          <w:sz w:val="24"/>
          <w:lang w:val="zh-CN"/>
        </w:rPr>
      </w:pPr>
      <w:r>
        <w:rPr>
          <w:rFonts w:hint="eastAsia" w:eastAsiaTheme="minorEastAsia"/>
          <w:kern w:val="0"/>
          <w:sz w:val="24"/>
          <w:lang w:val="zh-CN"/>
        </w:rPr>
        <w:fldChar w:fldCharType="begin"/>
      </w:r>
      <w:r>
        <w:rPr>
          <w:rFonts w:hint="eastAsia" w:eastAsiaTheme="minorEastAsia"/>
          <w:kern w:val="0"/>
          <w:sz w:val="24"/>
          <w:lang w:val="zh-CN"/>
        </w:rPr>
        <w:instrText xml:space="preserve"> = 4 \* GB3 </w:instrText>
      </w:r>
      <w:r>
        <w:rPr>
          <w:rFonts w:hint="eastAsia" w:eastAsiaTheme="minorEastAsia"/>
          <w:kern w:val="0"/>
          <w:sz w:val="24"/>
          <w:lang w:val="zh-CN"/>
        </w:rPr>
        <w:fldChar w:fldCharType="separate"/>
      </w:r>
      <w:r>
        <w:rPr>
          <w:rFonts w:hint="eastAsia" w:eastAsiaTheme="minorEastAsia"/>
          <w:kern w:val="0"/>
          <w:sz w:val="24"/>
          <w:lang w:val="zh-CN"/>
        </w:rPr>
        <w:t>④</w:t>
      </w:r>
      <w:r>
        <w:rPr>
          <w:rFonts w:hint="eastAsia" w:eastAsiaTheme="minorEastAsia"/>
          <w:kern w:val="0"/>
          <w:sz w:val="24"/>
          <w:lang w:val="zh-CN"/>
        </w:rPr>
        <w:fldChar w:fldCharType="end"/>
      </w:r>
      <w:r>
        <w:rPr>
          <w:rFonts w:hint="eastAsia" w:eastAsiaTheme="minorEastAsia"/>
          <w:kern w:val="0"/>
          <w:sz w:val="24"/>
          <w:lang w:val="zh-CN"/>
        </w:rPr>
        <w:t>未列入表1的其他以第一</w:t>
      </w:r>
      <w:bookmarkStart w:id="0" w:name="_GoBack"/>
      <w:bookmarkEnd w:id="0"/>
      <w:r>
        <w:rPr>
          <w:rFonts w:hint="eastAsia" w:eastAsiaTheme="minorEastAsia"/>
          <w:kern w:val="0"/>
          <w:sz w:val="24"/>
          <w:lang w:val="zh-CN"/>
        </w:rPr>
        <w:t>作者获得的高水平创新科研成果，须经遴选工作领导小组审定后予以计算相应积分。</w:t>
      </w:r>
    </w:p>
    <w:p>
      <w:pPr>
        <w:widowControl/>
        <w:spacing w:line="540" w:lineRule="exact"/>
        <w:ind w:left="359" w:leftChars="171" w:right="352" w:firstLine="576" w:firstLineChars="206"/>
        <w:jc w:val="left"/>
        <w:rPr>
          <w:rFonts w:hint="eastAsia" w:ascii="仿宋" w:hAnsi="仿宋" w:eastAsia="仿宋" w:cs="宋体"/>
          <w:color w:val="000000"/>
          <w:kern w:val="0"/>
          <w:sz w:val="28"/>
          <w:szCs w:val="28"/>
          <w:u w:val="none" w:color="000000"/>
          <w:lang w:val="zh-CN"/>
        </w:rPr>
      </w:pPr>
      <w:r>
        <w:rPr>
          <w:rFonts w:ascii="仿宋" w:hAnsi="仿宋" w:eastAsia="仿宋" w:cs="宋体"/>
          <w:color w:val="000000"/>
          <w:kern w:val="0"/>
          <w:sz w:val="28"/>
          <w:szCs w:val="28"/>
          <w:u w:val="none" w:color="000000"/>
          <w:lang w:val="zh-CN"/>
        </w:rPr>
        <w:t xml:space="preserve">                             </w:t>
      </w:r>
    </w:p>
    <w:p>
      <w:pPr>
        <w:snapToGrid w:val="0"/>
        <w:spacing w:line="312" w:lineRule="auto"/>
        <w:jc w:val="left"/>
        <w:rPr>
          <w:rFonts w:eastAsiaTheme="minorEastAsia"/>
          <w:sz w:val="24"/>
        </w:rPr>
      </w:pPr>
    </w:p>
    <w:sectPr>
      <w:footerReference r:id="rId3" w:type="default"/>
      <w:pgSz w:w="11906" w:h="16838"/>
      <w:pgMar w:top="1304" w:right="1588" w:bottom="1304" w:left="1588" w:header="851" w:footer="406"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9346175"/>
    </w:sdtPr>
    <w:sdtContent>
      <w:p>
        <w:pPr>
          <w:pStyle w:val="5"/>
          <w:jc w:val="center"/>
        </w:pPr>
        <w:r>
          <w:fldChar w:fldCharType="begin"/>
        </w:r>
        <w:r>
          <w:instrText xml:space="preserve">PAGE   \* MERGEFORMAT</w:instrText>
        </w:r>
        <w:r>
          <w:fldChar w:fldCharType="separate"/>
        </w:r>
        <w:r>
          <w:rPr>
            <w:lang w:val="zh-CN"/>
          </w:rPr>
          <w:t>4</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2A4"/>
    <w:rsid w:val="00000B3E"/>
    <w:rsid w:val="00004483"/>
    <w:rsid w:val="000075E7"/>
    <w:rsid w:val="000102C0"/>
    <w:rsid w:val="000124B8"/>
    <w:rsid w:val="00012592"/>
    <w:rsid w:val="00013172"/>
    <w:rsid w:val="00013AEC"/>
    <w:rsid w:val="00014CCB"/>
    <w:rsid w:val="00015637"/>
    <w:rsid w:val="000164C8"/>
    <w:rsid w:val="00017E9D"/>
    <w:rsid w:val="00021DC7"/>
    <w:rsid w:val="00023CEC"/>
    <w:rsid w:val="000252A4"/>
    <w:rsid w:val="00026ED3"/>
    <w:rsid w:val="000301BE"/>
    <w:rsid w:val="00030F93"/>
    <w:rsid w:val="000313E1"/>
    <w:rsid w:val="00032737"/>
    <w:rsid w:val="00033FA2"/>
    <w:rsid w:val="00040BC9"/>
    <w:rsid w:val="00044511"/>
    <w:rsid w:val="00050356"/>
    <w:rsid w:val="0005105D"/>
    <w:rsid w:val="000531A1"/>
    <w:rsid w:val="00054D5A"/>
    <w:rsid w:val="00055013"/>
    <w:rsid w:val="000553B4"/>
    <w:rsid w:val="00056070"/>
    <w:rsid w:val="00060510"/>
    <w:rsid w:val="00060550"/>
    <w:rsid w:val="00060762"/>
    <w:rsid w:val="00060B67"/>
    <w:rsid w:val="00062E2B"/>
    <w:rsid w:val="00064388"/>
    <w:rsid w:val="00064FCF"/>
    <w:rsid w:val="00070A20"/>
    <w:rsid w:val="00071DD6"/>
    <w:rsid w:val="000723E7"/>
    <w:rsid w:val="00074409"/>
    <w:rsid w:val="0008404B"/>
    <w:rsid w:val="00084384"/>
    <w:rsid w:val="00091109"/>
    <w:rsid w:val="00091943"/>
    <w:rsid w:val="0009569C"/>
    <w:rsid w:val="00095BB0"/>
    <w:rsid w:val="00095ED5"/>
    <w:rsid w:val="00096E8E"/>
    <w:rsid w:val="000A314D"/>
    <w:rsid w:val="000A36BB"/>
    <w:rsid w:val="000A52ED"/>
    <w:rsid w:val="000A5D80"/>
    <w:rsid w:val="000A5EA3"/>
    <w:rsid w:val="000B0A29"/>
    <w:rsid w:val="000B2352"/>
    <w:rsid w:val="000B7416"/>
    <w:rsid w:val="000C0A37"/>
    <w:rsid w:val="000C1837"/>
    <w:rsid w:val="000C30D9"/>
    <w:rsid w:val="000C5056"/>
    <w:rsid w:val="000E10F0"/>
    <w:rsid w:val="000E118B"/>
    <w:rsid w:val="000E18E3"/>
    <w:rsid w:val="000E3072"/>
    <w:rsid w:val="000E4F74"/>
    <w:rsid w:val="000E711D"/>
    <w:rsid w:val="000F24AB"/>
    <w:rsid w:val="000F40AE"/>
    <w:rsid w:val="000F4507"/>
    <w:rsid w:val="000F71E2"/>
    <w:rsid w:val="000F769C"/>
    <w:rsid w:val="001022C1"/>
    <w:rsid w:val="00106CE6"/>
    <w:rsid w:val="001072F5"/>
    <w:rsid w:val="00111269"/>
    <w:rsid w:val="00114BB4"/>
    <w:rsid w:val="00114F69"/>
    <w:rsid w:val="0011543E"/>
    <w:rsid w:val="00115656"/>
    <w:rsid w:val="0011652D"/>
    <w:rsid w:val="00117395"/>
    <w:rsid w:val="00117D0F"/>
    <w:rsid w:val="00123E1A"/>
    <w:rsid w:val="00124376"/>
    <w:rsid w:val="00124D21"/>
    <w:rsid w:val="00125A7C"/>
    <w:rsid w:val="00131740"/>
    <w:rsid w:val="0013268F"/>
    <w:rsid w:val="00132D79"/>
    <w:rsid w:val="00133319"/>
    <w:rsid w:val="001342A4"/>
    <w:rsid w:val="00134A94"/>
    <w:rsid w:val="00134D5B"/>
    <w:rsid w:val="00142FC5"/>
    <w:rsid w:val="00151136"/>
    <w:rsid w:val="001526AD"/>
    <w:rsid w:val="001530C7"/>
    <w:rsid w:val="0015568C"/>
    <w:rsid w:val="00166CF6"/>
    <w:rsid w:val="00167502"/>
    <w:rsid w:val="00180C5D"/>
    <w:rsid w:val="00181456"/>
    <w:rsid w:val="0018208E"/>
    <w:rsid w:val="00182D2F"/>
    <w:rsid w:val="001B0BBC"/>
    <w:rsid w:val="001B2B2F"/>
    <w:rsid w:val="001B3DD8"/>
    <w:rsid w:val="001B700B"/>
    <w:rsid w:val="001B75AE"/>
    <w:rsid w:val="001C4265"/>
    <w:rsid w:val="001C73FA"/>
    <w:rsid w:val="001C7861"/>
    <w:rsid w:val="001D160D"/>
    <w:rsid w:val="001D4196"/>
    <w:rsid w:val="001D7098"/>
    <w:rsid w:val="001E23B4"/>
    <w:rsid w:val="001E2AF9"/>
    <w:rsid w:val="001E456F"/>
    <w:rsid w:val="001E4D1F"/>
    <w:rsid w:val="001F0224"/>
    <w:rsid w:val="001F357C"/>
    <w:rsid w:val="001F478A"/>
    <w:rsid w:val="001F6EFA"/>
    <w:rsid w:val="001F7753"/>
    <w:rsid w:val="001F7C56"/>
    <w:rsid w:val="001F7D65"/>
    <w:rsid w:val="00200C5D"/>
    <w:rsid w:val="00201E6D"/>
    <w:rsid w:val="00203ECF"/>
    <w:rsid w:val="002118B3"/>
    <w:rsid w:val="0021450F"/>
    <w:rsid w:val="002161EB"/>
    <w:rsid w:val="00216278"/>
    <w:rsid w:val="0022011D"/>
    <w:rsid w:val="0022059E"/>
    <w:rsid w:val="0022230F"/>
    <w:rsid w:val="002240CE"/>
    <w:rsid w:val="00226344"/>
    <w:rsid w:val="00226985"/>
    <w:rsid w:val="0022699B"/>
    <w:rsid w:val="00227631"/>
    <w:rsid w:val="00234214"/>
    <w:rsid w:val="00234622"/>
    <w:rsid w:val="0024024E"/>
    <w:rsid w:val="00240F30"/>
    <w:rsid w:val="002438FF"/>
    <w:rsid w:val="00243CBD"/>
    <w:rsid w:val="00245DA1"/>
    <w:rsid w:val="0024600B"/>
    <w:rsid w:val="0024674C"/>
    <w:rsid w:val="0025479C"/>
    <w:rsid w:val="00255DCB"/>
    <w:rsid w:val="0025728E"/>
    <w:rsid w:val="00260AEE"/>
    <w:rsid w:val="00263CBC"/>
    <w:rsid w:val="00267870"/>
    <w:rsid w:val="0027014A"/>
    <w:rsid w:val="00270DAA"/>
    <w:rsid w:val="00271B39"/>
    <w:rsid w:val="002755EA"/>
    <w:rsid w:val="00277925"/>
    <w:rsid w:val="002802E0"/>
    <w:rsid w:val="00287012"/>
    <w:rsid w:val="00290D6A"/>
    <w:rsid w:val="00291674"/>
    <w:rsid w:val="00292F20"/>
    <w:rsid w:val="00293572"/>
    <w:rsid w:val="002939B6"/>
    <w:rsid w:val="002A0987"/>
    <w:rsid w:val="002A279E"/>
    <w:rsid w:val="002A5E4A"/>
    <w:rsid w:val="002B0B56"/>
    <w:rsid w:val="002B19A2"/>
    <w:rsid w:val="002B2CB2"/>
    <w:rsid w:val="002B321F"/>
    <w:rsid w:val="002B40B3"/>
    <w:rsid w:val="002B4EE8"/>
    <w:rsid w:val="002B5ECC"/>
    <w:rsid w:val="002B67A1"/>
    <w:rsid w:val="002B7D6F"/>
    <w:rsid w:val="002C02F0"/>
    <w:rsid w:val="002C4CEA"/>
    <w:rsid w:val="002C5F5A"/>
    <w:rsid w:val="002D1508"/>
    <w:rsid w:val="002D29B4"/>
    <w:rsid w:val="002D5785"/>
    <w:rsid w:val="002D6F19"/>
    <w:rsid w:val="002E0B94"/>
    <w:rsid w:val="002E13D5"/>
    <w:rsid w:val="002E2EAA"/>
    <w:rsid w:val="002E3E02"/>
    <w:rsid w:val="002E6B84"/>
    <w:rsid w:val="002F20AC"/>
    <w:rsid w:val="002F252B"/>
    <w:rsid w:val="00303FCC"/>
    <w:rsid w:val="00305667"/>
    <w:rsid w:val="00310788"/>
    <w:rsid w:val="003149CE"/>
    <w:rsid w:val="00315EB7"/>
    <w:rsid w:val="00317DD2"/>
    <w:rsid w:val="00322C21"/>
    <w:rsid w:val="00323516"/>
    <w:rsid w:val="003324F0"/>
    <w:rsid w:val="003340AA"/>
    <w:rsid w:val="003360A8"/>
    <w:rsid w:val="00336609"/>
    <w:rsid w:val="003374CC"/>
    <w:rsid w:val="003378C2"/>
    <w:rsid w:val="00340F47"/>
    <w:rsid w:val="00340F8D"/>
    <w:rsid w:val="003419DC"/>
    <w:rsid w:val="00344D16"/>
    <w:rsid w:val="00353686"/>
    <w:rsid w:val="003536D0"/>
    <w:rsid w:val="00355A97"/>
    <w:rsid w:val="00356214"/>
    <w:rsid w:val="00363A34"/>
    <w:rsid w:val="00364409"/>
    <w:rsid w:val="00364E1B"/>
    <w:rsid w:val="00374068"/>
    <w:rsid w:val="003771C9"/>
    <w:rsid w:val="003771D6"/>
    <w:rsid w:val="00383458"/>
    <w:rsid w:val="00385D0D"/>
    <w:rsid w:val="0038632F"/>
    <w:rsid w:val="00386419"/>
    <w:rsid w:val="003907F0"/>
    <w:rsid w:val="00390D66"/>
    <w:rsid w:val="00392FDD"/>
    <w:rsid w:val="0039571B"/>
    <w:rsid w:val="00396642"/>
    <w:rsid w:val="003978DE"/>
    <w:rsid w:val="003A08CD"/>
    <w:rsid w:val="003A1921"/>
    <w:rsid w:val="003A296C"/>
    <w:rsid w:val="003A6A2F"/>
    <w:rsid w:val="003A7807"/>
    <w:rsid w:val="003B2D39"/>
    <w:rsid w:val="003B2D44"/>
    <w:rsid w:val="003B39D2"/>
    <w:rsid w:val="003B4717"/>
    <w:rsid w:val="003B544B"/>
    <w:rsid w:val="003B55A0"/>
    <w:rsid w:val="003B6073"/>
    <w:rsid w:val="003C1E25"/>
    <w:rsid w:val="003C3752"/>
    <w:rsid w:val="003C38AD"/>
    <w:rsid w:val="003C58C8"/>
    <w:rsid w:val="003C6C46"/>
    <w:rsid w:val="003D0D2C"/>
    <w:rsid w:val="003D1DA7"/>
    <w:rsid w:val="003D43E2"/>
    <w:rsid w:val="003E01F9"/>
    <w:rsid w:val="003E1D70"/>
    <w:rsid w:val="003E54E2"/>
    <w:rsid w:val="003E641D"/>
    <w:rsid w:val="003E72D1"/>
    <w:rsid w:val="003F2110"/>
    <w:rsid w:val="003F3E2F"/>
    <w:rsid w:val="003F412A"/>
    <w:rsid w:val="003F6EE8"/>
    <w:rsid w:val="003F7E3A"/>
    <w:rsid w:val="004033B0"/>
    <w:rsid w:val="004035CF"/>
    <w:rsid w:val="00405AB5"/>
    <w:rsid w:val="004072F8"/>
    <w:rsid w:val="00407C29"/>
    <w:rsid w:val="0041067F"/>
    <w:rsid w:val="0041196D"/>
    <w:rsid w:val="0041373B"/>
    <w:rsid w:val="00414279"/>
    <w:rsid w:val="00415269"/>
    <w:rsid w:val="00416694"/>
    <w:rsid w:val="00417782"/>
    <w:rsid w:val="004177B6"/>
    <w:rsid w:val="00421C81"/>
    <w:rsid w:val="00422EFB"/>
    <w:rsid w:val="00424F95"/>
    <w:rsid w:val="00430009"/>
    <w:rsid w:val="004333AE"/>
    <w:rsid w:val="00434568"/>
    <w:rsid w:val="004358D1"/>
    <w:rsid w:val="00435CC7"/>
    <w:rsid w:val="00437DF6"/>
    <w:rsid w:val="00441676"/>
    <w:rsid w:val="00442FC5"/>
    <w:rsid w:val="0044565E"/>
    <w:rsid w:val="00445B1B"/>
    <w:rsid w:val="00445E4E"/>
    <w:rsid w:val="004462AB"/>
    <w:rsid w:val="00446780"/>
    <w:rsid w:val="0045119B"/>
    <w:rsid w:val="00452018"/>
    <w:rsid w:val="00453762"/>
    <w:rsid w:val="00466740"/>
    <w:rsid w:val="00470F57"/>
    <w:rsid w:val="00474EAC"/>
    <w:rsid w:val="00482895"/>
    <w:rsid w:val="0048568A"/>
    <w:rsid w:val="00485C4D"/>
    <w:rsid w:val="0049005F"/>
    <w:rsid w:val="00491F1C"/>
    <w:rsid w:val="00492AC8"/>
    <w:rsid w:val="00493C5B"/>
    <w:rsid w:val="00494B04"/>
    <w:rsid w:val="00495A57"/>
    <w:rsid w:val="004A1E7F"/>
    <w:rsid w:val="004A39FF"/>
    <w:rsid w:val="004A59D9"/>
    <w:rsid w:val="004B1CDD"/>
    <w:rsid w:val="004B46D0"/>
    <w:rsid w:val="004C08A5"/>
    <w:rsid w:val="004C13B6"/>
    <w:rsid w:val="004C32A9"/>
    <w:rsid w:val="004C65D4"/>
    <w:rsid w:val="004D5A71"/>
    <w:rsid w:val="004D7038"/>
    <w:rsid w:val="004E048E"/>
    <w:rsid w:val="004E538D"/>
    <w:rsid w:val="004E609D"/>
    <w:rsid w:val="004F2167"/>
    <w:rsid w:val="004F31C6"/>
    <w:rsid w:val="004F4D5C"/>
    <w:rsid w:val="004F6304"/>
    <w:rsid w:val="0050005D"/>
    <w:rsid w:val="00500601"/>
    <w:rsid w:val="0050673D"/>
    <w:rsid w:val="00512FA3"/>
    <w:rsid w:val="005212AA"/>
    <w:rsid w:val="00521A80"/>
    <w:rsid w:val="00522AFD"/>
    <w:rsid w:val="00526776"/>
    <w:rsid w:val="00526978"/>
    <w:rsid w:val="00527D65"/>
    <w:rsid w:val="00531326"/>
    <w:rsid w:val="005313FF"/>
    <w:rsid w:val="00531602"/>
    <w:rsid w:val="00535D14"/>
    <w:rsid w:val="0053695F"/>
    <w:rsid w:val="00543E79"/>
    <w:rsid w:val="00544544"/>
    <w:rsid w:val="005458C3"/>
    <w:rsid w:val="00545A9B"/>
    <w:rsid w:val="005460D8"/>
    <w:rsid w:val="00547876"/>
    <w:rsid w:val="005531B6"/>
    <w:rsid w:val="00554231"/>
    <w:rsid w:val="00557B55"/>
    <w:rsid w:val="005616E8"/>
    <w:rsid w:val="005619BC"/>
    <w:rsid w:val="005629BD"/>
    <w:rsid w:val="0056731A"/>
    <w:rsid w:val="00571409"/>
    <w:rsid w:val="00573ADA"/>
    <w:rsid w:val="00573C5A"/>
    <w:rsid w:val="00573FDE"/>
    <w:rsid w:val="00580874"/>
    <w:rsid w:val="00584501"/>
    <w:rsid w:val="00587619"/>
    <w:rsid w:val="00587727"/>
    <w:rsid w:val="005913B0"/>
    <w:rsid w:val="00592F4E"/>
    <w:rsid w:val="00594572"/>
    <w:rsid w:val="00595B7A"/>
    <w:rsid w:val="00596129"/>
    <w:rsid w:val="005A00B7"/>
    <w:rsid w:val="005A127B"/>
    <w:rsid w:val="005A4132"/>
    <w:rsid w:val="005A66FA"/>
    <w:rsid w:val="005A7D78"/>
    <w:rsid w:val="005B018A"/>
    <w:rsid w:val="005B1314"/>
    <w:rsid w:val="005B14C9"/>
    <w:rsid w:val="005B6FC3"/>
    <w:rsid w:val="005B72FE"/>
    <w:rsid w:val="005B7C47"/>
    <w:rsid w:val="005C15CB"/>
    <w:rsid w:val="005C35BA"/>
    <w:rsid w:val="005C382C"/>
    <w:rsid w:val="005C407B"/>
    <w:rsid w:val="005C6077"/>
    <w:rsid w:val="005C6279"/>
    <w:rsid w:val="005C6DDD"/>
    <w:rsid w:val="005D2551"/>
    <w:rsid w:val="005D26DD"/>
    <w:rsid w:val="005D63B4"/>
    <w:rsid w:val="005F32C0"/>
    <w:rsid w:val="005F3873"/>
    <w:rsid w:val="00600A82"/>
    <w:rsid w:val="00601F01"/>
    <w:rsid w:val="0060409F"/>
    <w:rsid w:val="00606870"/>
    <w:rsid w:val="006259CF"/>
    <w:rsid w:val="006335B2"/>
    <w:rsid w:val="006413AE"/>
    <w:rsid w:val="00646305"/>
    <w:rsid w:val="00650BB5"/>
    <w:rsid w:val="00654CEE"/>
    <w:rsid w:val="00662A0A"/>
    <w:rsid w:val="006635F3"/>
    <w:rsid w:val="00674D6F"/>
    <w:rsid w:val="00677EB0"/>
    <w:rsid w:val="00680B71"/>
    <w:rsid w:val="00687F47"/>
    <w:rsid w:val="00690C35"/>
    <w:rsid w:val="00697FEB"/>
    <w:rsid w:val="006A1784"/>
    <w:rsid w:val="006B2A57"/>
    <w:rsid w:val="006B2B7B"/>
    <w:rsid w:val="006B3738"/>
    <w:rsid w:val="006B413A"/>
    <w:rsid w:val="006B49E7"/>
    <w:rsid w:val="006B4BB6"/>
    <w:rsid w:val="006C4D38"/>
    <w:rsid w:val="006D1665"/>
    <w:rsid w:val="006D2292"/>
    <w:rsid w:val="006D57BA"/>
    <w:rsid w:val="006D6BED"/>
    <w:rsid w:val="006E1C6D"/>
    <w:rsid w:val="006E40AE"/>
    <w:rsid w:val="006F0EEE"/>
    <w:rsid w:val="006F2E92"/>
    <w:rsid w:val="006F3E67"/>
    <w:rsid w:val="007005F6"/>
    <w:rsid w:val="007022D8"/>
    <w:rsid w:val="00703B57"/>
    <w:rsid w:val="00703BFC"/>
    <w:rsid w:val="00710CDF"/>
    <w:rsid w:val="00713604"/>
    <w:rsid w:val="0071746A"/>
    <w:rsid w:val="00723E43"/>
    <w:rsid w:val="00726E89"/>
    <w:rsid w:val="00733B54"/>
    <w:rsid w:val="0073436F"/>
    <w:rsid w:val="007401D0"/>
    <w:rsid w:val="0074089D"/>
    <w:rsid w:val="00741994"/>
    <w:rsid w:val="007421A7"/>
    <w:rsid w:val="00760078"/>
    <w:rsid w:val="007606EA"/>
    <w:rsid w:val="00760B26"/>
    <w:rsid w:val="007617E8"/>
    <w:rsid w:val="00761CBD"/>
    <w:rsid w:val="00761DB3"/>
    <w:rsid w:val="007623C6"/>
    <w:rsid w:val="007641DA"/>
    <w:rsid w:val="007677FF"/>
    <w:rsid w:val="0076789C"/>
    <w:rsid w:val="00771987"/>
    <w:rsid w:val="0077248C"/>
    <w:rsid w:val="0077333A"/>
    <w:rsid w:val="00776EFA"/>
    <w:rsid w:val="0078120D"/>
    <w:rsid w:val="0078172D"/>
    <w:rsid w:val="00783967"/>
    <w:rsid w:val="007908A1"/>
    <w:rsid w:val="00791734"/>
    <w:rsid w:val="00792ABC"/>
    <w:rsid w:val="00792D0A"/>
    <w:rsid w:val="0079488D"/>
    <w:rsid w:val="00794F77"/>
    <w:rsid w:val="0079514A"/>
    <w:rsid w:val="007957BF"/>
    <w:rsid w:val="00796814"/>
    <w:rsid w:val="007A2013"/>
    <w:rsid w:val="007A5699"/>
    <w:rsid w:val="007A6961"/>
    <w:rsid w:val="007A7047"/>
    <w:rsid w:val="007C047B"/>
    <w:rsid w:val="007C0B2F"/>
    <w:rsid w:val="007C37B8"/>
    <w:rsid w:val="007D0CCB"/>
    <w:rsid w:val="007D21E5"/>
    <w:rsid w:val="007D774D"/>
    <w:rsid w:val="007E026D"/>
    <w:rsid w:val="007E3F78"/>
    <w:rsid w:val="007E4635"/>
    <w:rsid w:val="007E6936"/>
    <w:rsid w:val="007F2C35"/>
    <w:rsid w:val="007F2E57"/>
    <w:rsid w:val="007F69B5"/>
    <w:rsid w:val="008007DA"/>
    <w:rsid w:val="008021E6"/>
    <w:rsid w:val="00805AF6"/>
    <w:rsid w:val="00812665"/>
    <w:rsid w:val="008132CD"/>
    <w:rsid w:val="00814E19"/>
    <w:rsid w:val="00820EEB"/>
    <w:rsid w:val="00823E43"/>
    <w:rsid w:val="00824C81"/>
    <w:rsid w:val="00827635"/>
    <w:rsid w:val="00830581"/>
    <w:rsid w:val="00837A92"/>
    <w:rsid w:val="00843741"/>
    <w:rsid w:val="00846096"/>
    <w:rsid w:val="00846C47"/>
    <w:rsid w:val="00847AD2"/>
    <w:rsid w:val="00853D1A"/>
    <w:rsid w:val="008555D9"/>
    <w:rsid w:val="0085680F"/>
    <w:rsid w:val="00862853"/>
    <w:rsid w:val="008635D2"/>
    <w:rsid w:val="00864F1E"/>
    <w:rsid w:val="00865B29"/>
    <w:rsid w:val="00872356"/>
    <w:rsid w:val="00873C77"/>
    <w:rsid w:val="00875870"/>
    <w:rsid w:val="0088246C"/>
    <w:rsid w:val="008835FF"/>
    <w:rsid w:val="00885BF3"/>
    <w:rsid w:val="00890521"/>
    <w:rsid w:val="0089295A"/>
    <w:rsid w:val="00893048"/>
    <w:rsid w:val="00893DA6"/>
    <w:rsid w:val="00894290"/>
    <w:rsid w:val="008A0740"/>
    <w:rsid w:val="008A49EE"/>
    <w:rsid w:val="008A5B74"/>
    <w:rsid w:val="008A5EEC"/>
    <w:rsid w:val="008A6355"/>
    <w:rsid w:val="008C1B97"/>
    <w:rsid w:val="008C34C7"/>
    <w:rsid w:val="008C5B53"/>
    <w:rsid w:val="008C7788"/>
    <w:rsid w:val="008D0CD7"/>
    <w:rsid w:val="008D3F96"/>
    <w:rsid w:val="008D56D6"/>
    <w:rsid w:val="008E0D7A"/>
    <w:rsid w:val="008E2AB4"/>
    <w:rsid w:val="008E4F14"/>
    <w:rsid w:val="008E6777"/>
    <w:rsid w:val="008F1B5F"/>
    <w:rsid w:val="008F28D3"/>
    <w:rsid w:val="008F539B"/>
    <w:rsid w:val="008F59E4"/>
    <w:rsid w:val="008F5FC6"/>
    <w:rsid w:val="009059CC"/>
    <w:rsid w:val="00905F96"/>
    <w:rsid w:val="009113FD"/>
    <w:rsid w:val="009137AC"/>
    <w:rsid w:val="009142C3"/>
    <w:rsid w:val="00916D82"/>
    <w:rsid w:val="00921437"/>
    <w:rsid w:val="009220C8"/>
    <w:rsid w:val="00926AF7"/>
    <w:rsid w:val="0093108A"/>
    <w:rsid w:val="00932862"/>
    <w:rsid w:val="009340F1"/>
    <w:rsid w:val="00935B9C"/>
    <w:rsid w:val="00935F3D"/>
    <w:rsid w:val="00937DE0"/>
    <w:rsid w:val="00941B77"/>
    <w:rsid w:val="00944D85"/>
    <w:rsid w:val="00945B91"/>
    <w:rsid w:val="009524D6"/>
    <w:rsid w:val="00952C4D"/>
    <w:rsid w:val="0095557C"/>
    <w:rsid w:val="00956A3D"/>
    <w:rsid w:val="009627B3"/>
    <w:rsid w:val="009635EF"/>
    <w:rsid w:val="00966B2E"/>
    <w:rsid w:val="009700E2"/>
    <w:rsid w:val="0097238E"/>
    <w:rsid w:val="00973371"/>
    <w:rsid w:val="00975B62"/>
    <w:rsid w:val="0097739E"/>
    <w:rsid w:val="00977702"/>
    <w:rsid w:val="009802A0"/>
    <w:rsid w:val="009845C4"/>
    <w:rsid w:val="00984AD7"/>
    <w:rsid w:val="00986B2A"/>
    <w:rsid w:val="0098728D"/>
    <w:rsid w:val="00993963"/>
    <w:rsid w:val="00997ACF"/>
    <w:rsid w:val="009A05F5"/>
    <w:rsid w:val="009A6C05"/>
    <w:rsid w:val="009A6C6F"/>
    <w:rsid w:val="009B6AC1"/>
    <w:rsid w:val="009D0508"/>
    <w:rsid w:val="009D3684"/>
    <w:rsid w:val="009D5AAC"/>
    <w:rsid w:val="009D6125"/>
    <w:rsid w:val="009D71BD"/>
    <w:rsid w:val="009E0906"/>
    <w:rsid w:val="009E22E6"/>
    <w:rsid w:val="009E48EE"/>
    <w:rsid w:val="009E561A"/>
    <w:rsid w:val="009E5AD2"/>
    <w:rsid w:val="009F665E"/>
    <w:rsid w:val="009F71BB"/>
    <w:rsid w:val="009F7BB8"/>
    <w:rsid w:val="00A065BA"/>
    <w:rsid w:val="00A0703F"/>
    <w:rsid w:val="00A07265"/>
    <w:rsid w:val="00A07E2C"/>
    <w:rsid w:val="00A13498"/>
    <w:rsid w:val="00A154D8"/>
    <w:rsid w:val="00A166B8"/>
    <w:rsid w:val="00A16B68"/>
    <w:rsid w:val="00A23436"/>
    <w:rsid w:val="00A24501"/>
    <w:rsid w:val="00A316FB"/>
    <w:rsid w:val="00A335D5"/>
    <w:rsid w:val="00A3377F"/>
    <w:rsid w:val="00A34AD8"/>
    <w:rsid w:val="00A41A9E"/>
    <w:rsid w:val="00A41B48"/>
    <w:rsid w:val="00A43C97"/>
    <w:rsid w:val="00A443C7"/>
    <w:rsid w:val="00A54FBD"/>
    <w:rsid w:val="00A5536E"/>
    <w:rsid w:val="00A61DA0"/>
    <w:rsid w:val="00A630C2"/>
    <w:rsid w:val="00A63BE2"/>
    <w:rsid w:val="00A66977"/>
    <w:rsid w:val="00A768BD"/>
    <w:rsid w:val="00A836B7"/>
    <w:rsid w:val="00A97C33"/>
    <w:rsid w:val="00AA0647"/>
    <w:rsid w:val="00AA0B32"/>
    <w:rsid w:val="00AA3054"/>
    <w:rsid w:val="00AA3101"/>
    <w:rsid w:val="00AA4ADB"/>
    <w:rsid w:val="00AA7022"/>
    <w:rsid w:val="00AB111C"/>
    <w:rsid w:val="00AB1E2F"/>
    <w:rsid w:val="00AB2F1E"/>
    <w:rsid w:val="00AB3DF6"/>
    <w:rsid w:val="00AB5230"/>
    <w:rsid w:val="00AB6087"/>
    <w:rsid w:val="00AB6FF2"/>
    <w:rsid w:val="00AC29EA"/>
    <w:rsid w:val="00AC4CF3"/>
    <w:rsid w:val="00AC6779"/>
    <w:rsid w:val="00AC7538"/>
    <w:rsid w:val="00AD26DF"/>
    <w:rsid w:val="00AD793A"/>
    <w:rsid w:val="00AE1F20"/>
    <w:rsid w:val="00AE2FD8"/>
    <w:rsid w:val="00AE4EA6"/>
    <w:rsid w:val="00AE5050"/>
    <w:rsid w:val="00AE5C09"/>
    <w:rsid w:val="00AE6E9C"/>
    <w:rsid w:val="00AE6F20"/>
    <w:rsid w:val="00AF0B0A"/>
    <w:rsid w:val="00AF4C0F"/>
    <w:rsid w:val="00AF6FE3"/>
    <w:rsid w:val="00B00178"/>
    <w:rsid w:val="00B06022"/>
    <w:rsid w:val="00B0602F"/>
    <w:rsid w:val="00B0638D"/>
    <w:rsid w:val="00B125E9"/>
    <w:rsid w:val="00B13F13"/>
    <w:rsid w:val="00B1449D"/>
    <w:rsid w:val="00B14866"/>
    <w:rsid w:val="00B25706"/>
    <w:rsid w:val="00B2662D"/>
    <w:rsid w:val="00B26C04"/>
    <w:rsid w:val="00B26FBC"/>
    <w:rsid w:val="00B30BD8"/>
    <w:rsid w:val="00B30C51"/>
    <w:rsid w:val="00B310E1"/>
    <w:rsid w:val="00B344D7"/>
    <w:rsid w:val="00B35716"/>
    <w:rsid w:val="00B35A7C"/>
    <w:rsid w:val="00B410E7"/>
    <w:rsid w:val="00B4184E"/>
    <w:rsid w:val="00B424B9"/>
    <w:rsid w:val="00B42F21"/>
    <w:rsid w:val="00B4362A"/>
    <w:rsid w:val="00B47FCC"/>
    <w:rsid w:val="00B5074E"/>
    <w:rsid w:val="00B54786"/>
    <w:rsid w:val="00B57DBB"/>
    <w:rsid w:val="00B66FDD"/>
    <w:rsid w:val="00B6785E"/>
    <w:rsid w:val="00B67C03"/>
    <w:rsid w:val="00B730C6"/>
    <w:rsid w:val="00B84120"/>
    <w:rsid w:val="00B87B13"/>
    <w:rsid w:val="00B90A85"/>
    <w:rsid w:val="00B927B6"/>
    <w:rsid w:val="00B94B85"/>
    <w:rsid w:val="00B96F77"/>
    <w:rsid w:val="00BA4151"/>
    <w:rsid w:val="00BA677E"/>
    <w:rsid w:val="00BB08C1"/>
    <w:rsid w:val="00BB4046"/>
    <w:rsid w:val="00BB49BB"/>
    <w:rsid w:val="00BB576F"/>
    <w:rsid w:val="00BC0E10"/>
    <w:rsid w:val="00BC2A7F"/>
    <w:rsid w:val="00BC4068"/>
    <w:rsid w:val="00BC7CC9"/>
    <w:rsid w:val="00BD24A4"/>
    <w:rsid w:val="00BD3B40"/>
    <w:rsid w:val="00BE0834"/>
    <w:rsid w:val="00BE20A9"/>
    <w:rsid w:val="00BE2E28"/>
    <w:rsid w:val="00BE4DD8"/>
    <w:rsid w:val="00BE76AF"/>
    <w:rsid w:val="00BF2B42"/>
    <w:rsid w:val="00BF2DF9"/>
    <w:rsid w:val="00BF7CB9"/>
    <w:rsid w:val="00C000A2"/>
    <w:rsid w:val="00C02B8E"/>
    <w:rsid w:val="00C02FD1"/>
    <w:rsid w:val="00C04337"/>
    <w:rsid w:val="00C11CCB"/>
    <w:rsid w:val="00C12E73"/>
    <w:rsid w:val="00C1358D"/>
    <w:rsid w:val="00C159FA"/>
    <w:rsid w:val="00C15D32"/>
    <w:rsid w:val="00C226F7"/>
    <w:rsid w:val="00C23B2D"/>
    <w:rsid w:val="00C24F9F"/>
    <w:rsid w:val="00C30282"/>
    <w:rsid w:val="00C30575"/>
    <w:rsid w:val="00C30EBE"/>
    <w:rsid w:val="00C347AD"/>
    <w:rsid w:val="00C35D4A"/>
    <w:rsid w:val="00C435CC"/>
    <w:rsid w:val="00C4626D"/>
    <w:rsid w:val="00C475F3"/>
    <w:rsid w:val="00C5053E"/>
    <w:rsid w:val="00C53C54"/>
    <w:rsid w:val="00C53F9F"/>
    <w:rsid w:val="00C542D0"/>
    <w:rsid w:val="00C563BF"/>
    <w:rsid w:val="00C56D87"/>
    <w:rsid w:val="00C57F27"/>
    <w:rsid w:val="00C60655"/>
    <w:rsid w:val="00C62031"/>
    <w:rsid w:val="00C6359B"/>
    <w:rsid w:val="00C64279"/>
    <w:rsid w:val="00C65340"/>
    <w:rsid w:val="00C70B74"/>
    <w:rsid w:val="00C72C9A"/>
    <w:rsid w:val="00C7395D"/>
    <w:rsid w:val="00C75B26"/>
    <w:rsid w:val="00C7613B"/>
    <w:rsid w:val="00C765E4"/>
    <w:rsid w:val="00C77394"/>
    <w:rsid w:val="00C81771"/>
    <w:rsid w:val="00C85086"/>
    <w:rsid w:val="00C91911"/>
    <w:rsid w:val="00C933C2"/>
    <w:rsid w:val="00CA523D"/>
    <w:rsid w:val="00CB5F53"/>
    <w:rsid w:val="00CC0854"/>
    <w:rsid w:val="00CC1B97"/>
    <w:rsid w:val="00CC6598"/>
    <w:rsid w:val="00CC67BF"/>
    <w:rsid w:val="00CD0EF5"/>
    <w:rsid w:val="00CD14B4"/>
    <w:rsid w:val="00CD2C8C"/>
    <w:rsid w:val="00CD2E71"/>
    <w:rsid w:val="00CD65B1"/>
    <w:rsid w:val="00CD66D3"/>
    <w:rsid w:val="00CD76A0"/>
    <w:rsid w:val="00CE105E"/>
    <w:rsid w:val="00CE130C"/>
    <w:rsid w:val="00CE6D52"/>
    <w:rsid w:val="00CF10C8"/>
    <w:rsid w:val="00CF1CE6"/>
    <w:rsid w:val="00CF1FDC"/>
    <w:rsid w:val="00CF50BB"/>
    <w:rsid w:val="00CF51C2"/>
    <w:rsid w:val="00CF6201"/>
    <w:rsid w:val="00CF663B"/>
    <w:rsid w:val="00CF6ECD"/>
    <w:rsid w:val="00D04349"/>
    <w:rsid w:val="00D10DB5"/>
    <w:rsid w:val="00D20B95"/>
    <w:rsid w:val="00D2111B"/>
    <w:rsid w:val="00D23444"/>
    <w:rsid w:val="00D24CF3"/>
    <w:rsid w:val="00D26D1F"/>
    <w:rsid w:val="00D32436"/>
    <w:rsid w:val="00D340A0"/>
    <w:rsid w:val="00D36C4E"/>
    <w:rsid w:val="00D4319D"/>
    <w:rsid w:val="00D44EAA"/>
    <w:rsid w:val="00D45640"/>
    <w:rsid w:val="00D4580E"/>
    <w:rsid w:val="00D45EC6"/>
    <w:rsid w:val="00D47004"/>
    <w:rsid w:val="00D561D1"/>
    <w:rsid w:val="00D578B5"/>
    <w:rsid w:val="00D61493"/>
    <w:rsid w:val="00D61B3B"/>
    <w:rsid w:val="00D629DE"/>
    <w:rsid w:val="00D62F96"/>
    <w:rsid w:val="00D70F20"/>
    <w:rsid w:val="00D7213A"/>
    <w:rsid w:val="00D739DE"/>
    <w:rsid w:val="00D75293"/>
    <w:rsid w:val="00D75C74"/>
    <w:rsid w:val="00D776A8"/>
    <w:rsid w:val="00D80E75"/>
    <w:rsid w:val="00D82F97"/>
    <w:rsid w:val="00D861E5"/>
    <w:rsid w:val="00D907E1"/>
    <w:rsid w:val="00D942CF"/>
    <w:rsid w:val="00D9464E"/>
    <w:rsid w:val="00D96615"/>
    <w:rsid w:val="00DA00E0"/>
    <w:rsid w:val="00DA1211"/>
    <w:rsid w:val="00DB4785"/>
    <w:rsid w:val="00DB76F1"/>
    <w:rsid w:val="00DB7DDA"/>
    <w:rsid w:val="00DC0267"/>
    <w:rsid w:val="00DC0520"/>
    <w:rsid w:val="00DC3BD7"/>
    <w:rsid w:val="00DC5146"/>
    <w:rsid w:val="00DD167E"/>
    <w:rsid w:val="00DD1AE6"/>
    <w:rsid w:val="00DD1DA4"/>
    <w:rsid w:val="00DD3DEA"/>
    <w:rsid w:val="00DD6F2C"/>
    <w:rsid w:val="00DE1679"/>
    <w:rsid w:val="00DE4305"/>
    <w:rsid w:val="00DE4C1E"/>
    <w:rsid w:val="00DE67B2"/>
    <w:rsid w:val="00DE774E"/>
    <w:rsid w:val="00DF230A"/>
    <w:rsid w:val="00DF5B99"/>
    <w:rsid w:val="00DF7430"/>
    <w:rsid w:val="00DF7ED9"/>
    <w:rsid w:val="00E0167F"/>
    <w:rsid w:val="00E0348F"/>
    <w:rsid w:val="00E04298"/>
    <w:rsid w:val="00E1059F"/>
    <w:rsid w:val="00E10932"/>
    <w:rsid w:val="00E12189"/>
    <w:rsid w:val="00E14A14"/>
    <w:rsid w:val="00E160DB"/>
    <w:rsid w:val="00E165FD"/>
    <w:rsid w:val="00E16D53"/>
    <w:rsid w:val="00E22032"/>
    <w:rsid w:val="00E2603B"/>
    <w:rsid w:val="00E31601"/>
    <w:rsid w:val="00E31A6A"/>
    <w:rsid w:val="00E33598"/>
    <w:rsid w:val="00E34152"/>
    <w:rsid w:val="00E348C8"/>
    <w:rsid w:val="00E3607F"/>
    <w:rsid w:val="00E36F2F"/>
    <w:rsid w:val="00E40345"/>
    <w:rsid w:val="00E40950"/>
    <w:rsid w:val="00E410EB"/>
    <w:rsid w:val="00E542F4"/>
    <w:rsid w:val="00E542F9"/>
    <w:rsid w:val="00E54884"/>
    <w:rsid w:val="00E54DD5"/>
    <w:rsid w:val="00E54FD4"/>
    <w:rsid w:val="00E614F9"/>
    <w:rsid w:val="00E6273B"/>
    <w:rsid w:val="00E6273E"/>
    <w:rsid w:val="00E6466D"/>
    <w:rsid w:val="00E658EB"/>
    <w:rsid w:val="00E663F2"/>
    <w:rsid w:val="00E6692E"/>
    <w:rsid w:val="00E71779"/>
    <w:rsid w:val="00E723B9"/>
    <w:rsid w:val="00E758E0"/>
    <w:rsid w:val="00E76FF7"/>
    <w:rsid w:val="00E77D6C"/>
    <w:rsid w:val="00E833D4"/>
    <w:rsid w:val="00E85CAB"/>
    <w:rsid w:val="00E8709E"/>
    <w:rsid w:val="00E90B38"/>
    <w:rsid w:val="00E91F08"/>
    <w:rsid w:val="00EA02B3"/>
    <w:rsid w:val="00EA305C"/>
    <w:rsid w:val="00EA328E"/>
    <w:rsid w:val="00EA49A2"/>
    <w:rsid w:val="00EA5D8A"/>
    <w:rsid w:val="00EA7655"/>
    <w:rsid w:val="00EB5753"/>
    <w:rsid w:val="00EB5C63"/>
    <w:rsid w:val="00EB5E6C"/>
    <w:rsid w:val="00EB6442"/>
    <w:rsid w:val="00EC30BE"/>
    <w:rsid w:val="00EC31E8"/>
    <w:rsid w:val="00EC4B33"/>
    <w:rsid w:val="00EC718F"/>
    <w:rsid w:val="00EC71E0"/>
    <w:rsid w:val="00ED11F7"/>
    <w:rsid w:val="00ED2867"/>
    <w:rsid w:val="00ED4C91"/>
    <w:rsid w:val="00ED609E"/>
    <w:rsid w:val="00EE1857"/>
    <w:rsid w:val="00EE1BC6"/>
    <w:rsid w:val="00EE4CA4"/>
    <w:rsid w:val="00EE4FCF"/>
    <w:rsid w:val="00EE5AFC"/>
    <w:rsid w:val="00EE6965"/>
    <w:rsid w:val="00EE6A4D"/>
    <w:rsid w:val="00EE6A89"/>
    <w:rsid w:val="00EF02B3"/>
    <w:rsid w:val="00F01947"/>
    <w:rsid w:val="00F023C3"/>
    <w:rsid w:val="00F037A7"/>
    <w:rsid w:val="00F04BF0"/>
    <w:rsid w:val="00F05C0F"/>
    <w:rsid w:val="00F073CC"/>
    <w:rsid w:val="00F123DE"/>
    <w:rsid w:val="00F15B98"/>
    <w:rsid w:val="00F2091F"/>
    <w:rsid w:val="00F227D6"/>
    <w:rsid w:val="00F2562A"/>
    <w:rsid w:val="00F305A2"/>
    <w:rsid w:val="00F307F9"/>
    <w:rsid w:val="00F3362A"/>
    <w:rsid w:val="00F33B1F"/>
    <w:rsid w:val="00F3445F"/>
    <w:rsid w:val="00F44E41"/>
    <w:rsid w:val="00F47040"/>
    <w:rsid w:val="00F51FA1"/>
    <w:rsid w:val="00F548B7"/>
    <w:rsid w:val="00F54F3E"/>
    <w:rsid w:val="00F56D52"/>
    <w:rsid w:val="00F65227"/>
    <w:rsid w:val="00F7020D"/>
    <w:rsid w:val="00F734EE"/>
    <w:rsid w:val="00F73EA1"/>
    <w:rsid w:val="00F74CD7"/>
    <w:rsid w:val="00F75623"/>
    <w:rsid w:val="00F75903"/>
    <w:rsid w:val="00F77476"/>
    <w:rsid w:val="00F776A1"/>
    <w:rsid w:val="00F857A1"/>
    <w:rsid w:val="00F859A0"/>
    <w:rsid w:val="00F860C3"/>
    <w:rsid w:val="00F86238"/>
    <w:rsid w:val="00F8754E"/>
    <w:rsid w:val="00F90D65"/>
    <w:rsid w:val="00F910D6"/>
    <w:rsid w:val="00F9234A"/>
    <w:rsid w:val="00F936C4"/>
    <w:rsid w:val="00F957B5"/>
    <w:rsid w:val="00F95E6A"/>
    <w:rsid w:val="00F9651F"/>
    <w:rsid w:val="00F971B5"/>
    <w:rsid w:val="00FA1ABC"/>
    <w:rsid w:val="00FA3620"/>
    <w:rsid w:val="00FA4011"/>
    <w:rsid w:val="00FA413C"/>
    <w:rsid w:val="00FA4286"/>
    <w:rsid w:val="00FA51A0"/>
    <w:rsid w:val="00FB3183"/>
    <w:rsid w:val="00FB3536"/>
    <w:rsid w:val="00FB3738"/>
    <w:rsid w:val="00FC4B46"/>
    <w:rsid w:val="00FD0610"/>
    <w:rsid w:val="00FD218C"/>
    <w:rsid w:val="00FD321A"/>
    <w:rsid w:val="00FD65AE"/>
    <w:rsid w:val="00FD683C"/>
    <w:rsid w:val="00FE42F5"/>
    <w:rsid w:val="00FE55A6"/>
    <w:rsid w:val="00FF7758"/>
    <w:rsid w:val="054A4DA7"/>
    <w:rsid w:val="068339F8"/>
    <w:rsid w:val="0BE715D1"/>
    <w:rsid w:val="0CC97446"/>
    <w:rsid w:val="0FCD7A21"/>
    <w:rsid w:val="188C2FA5"/>
    <w:rsid w:val="19342AFA"/>
    <w:rsid w:val="20E976F5"/>
    <w:rsid w:val="248374A4"/>
    <w:rsid w:val="2D44443F"/>
    <w:rsid w:val="3A1F29C3"/>
    <w:rsid w:val="42A813E6"/>
    <w:rsid w:val="4BB43603"/>
    <w:rsid w:val="4BE60C4F"/>
    <w:rsid w:val="55415734"/>
    <w:rsid w:val="63C15DFA"/>
    <w:rsid w:val="6AEE2AF7"/>
    <w:rsid w:val="6B13780C"/>
    <w:rsid w:val="6F8A494A"/>
    <w:rsid w:val="7483512E"/>
    <w:rsid w:val="75D004DA"/>
    <w:rsid w:val="7C1D43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13"/>
    <w:semiHidden/>
    <w:unhideWhenUsed/>
    <w:qFormat/>
    <w:uiPriority w:val="99"/>
    <w:rPr>
      <w:rFonts w:ascii="宋体"/>
      <w:sz w:val="18"/>
      <w:szCs w:val="18"/>
    </w:r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2"/>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rFonts w:ascii="Times New Roman" w:hAnsi="Times New Roman" w:eastAsia="宋体" w:cs="Times New Roman"/>
      <w:sz w:val="18"/>
      <w:szCs w:val="18"/>
    </w:rPr>
  </w:style>
  <w:style w:type="character" w:customStyle="1" w:styleId="10">
    <w:name w:val="页脚 Char"/>
    <w:basedOn w:val="8"/>
    <w:link w:val="5"/>
    <w:qFormat/>
    <w:uiPriority w:val="99"/>
    <w:rPr>
      <w:rFonts w:ascii="Times New Roman" w:hAnsi="Times New Roman" w:eastAsia="宋体" w:cs="Times New Roman"/>
      <w:sz w:val="18"/>
      <w:szCs w:val="18"/>
    </w:rPr>
  </w:style>
  <w:style w:type="paragraph" w:customStyle="1" w:styleId="11">
    <w:name w:val="列出段落1"/>
    <w:basedOn w:val="1"/>
    <w:qFormat/>
    <w:uiPriority w:val="34"/>
    <w:pPr>
      <w:ind w:firstLine="420" w:firstLineChars="200"/>
    </w:pPr>
  </w:style>
  <w:style w:type="character" w:customStyle="1" w:styleId="12">
    <w:name w:val="批注框文本 Char"/>
    <w:basedOn w:val="8"/>
    <w:link w:val="4"/>
    <w:semiHidden/>
    <w:qFormat/>
    <w:uiPriority w:val="99"/>
    <w:rPr>
      <w:rFonts w:ascii="Times New Roman" w:hAnsi="Times New Roman" w:eastAsia="宋体" w:cs="Times New Roman"/>
      <w:sz w:val="18"/>
      <w:szCs w:val="18"/>
    </w:rPr>
  </w:style>
  <w:style w:type="character" w:customStyle="1" w:styleId="13">
    <w:name w:val="文档结构图 Char"/>
    <w:basedOn w:val="8"/>
    <w:link w:val="2"/>
    <w:semiHidden/>
    <w:qFormat/>
    <w:uiPriority w:val="99"/>
    <w:rPr>
      <w:rFonts w:ascii="宋体" w:hAnsi="Times New Roman" w:eastAsia="宋体" w:cs="Times New Roman"/>
      <w:kern w:val="2"/>
      <w:sz w:val="18"/>
      <w:szCs w:val="18"/>
    </w:rPr>
  </w:style>
  <w:style w:type="paragraph" w:styleId="14">
    <w:name w:val="List Paragraph"/>
    <w:basedOn w:val="1"/>
    <w:unhideWhenUsed/>
    <w:qFormat/>
    <w:uiPriority w:val="99"/>
    <w:pPr>
      <w:ind w:firstLine="420" w:firstLineChars="200"/>
    </w:pPr>
  </w:style>
  <w:style w:type="character" w:customStyle="1" w:styleId="15">
    <w:name w:val="日期 Char"/>
    <w:basedOn w:val="8"/>
    <w:link w:val="3"/>
    <w:semiHidden/>
    <w:qFormat/>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45BDE6-4CF2-4A1C-A116-31EC6E042398}">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5</Pages>
  <Words>694</Words>
  <Characters>3962</Characters>
  <Lines>33</Lines>
  <Paragraphs>9</Paragraphs>
  <TotalTime>1</TotalTime>
  <ScaleCrop>false</ScaleCrop>
  <LinksUpToDate>false</LinksUpToDate>
  <CharactersWithSpaces>4647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2017-09-13T13:05:00Z</dcterms:created>
  <dc:creator>Lenovo User</dc:creator>
  <cp:lastModifiedBy>jinjin</cp:lastModifiedBy>
  <cp:lastPrinted>2019-09-06T02:32:00Z</cp:lastPrinted>
  <dcterms:modified xsi:type="dcterms:W3CDTF">2021-09-09T06:09:56Z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